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116" w14:textId="25C15453" w:rsidR="007002E3" w:rsidRDefault="007002E3" w:rsidP="007002E3">
      <w:pPr>
        <w:pStyle w:val="Title"/>
      </w:pPr>
      <w:r>
        <w:rPr>
          <w:noProof/>
        </w:rPr>
        <mc:AlternateContent>
          <mc:Choice Requires="wps">
            <w:drawing>
              <wp:anchor distT="0" distB="0" distL="114300" distR="114300" simplePos="0" relativeHeight="251668480" behindDoc="0" locked="0" layoutInCell="1" allowOverlap="1" wp14:anchorId="04CCB8CB" wp14:editId="0C289363">
                <wp:simplePos x="0" y="0"/>
                <wp:positionH relativeFrom="page">
                  <wp:align>right</wp:align>
                </wp:positionH>
                <wp:positionV relativeFrom="paragraph">
                  <wp:posOffset>-914400</wp:posOffset>
                </wp:positionV>
                <wp:extent cx="7734300" cy="5305425"/>
                <wp:effectExtent l="0" t="0" r="19050" b="28575"/>
                <wp:wrapNone/>
                <wp:docPr id="50679244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4300" cy="5305425"/>
                        </a:xfrm>
                        <a:prstGeom prst="rect">
                          <a:avLst/>
                        </a:prstGeom>
                        <a:solidFill>
                          <a:srgbClr val="295D9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9563F5" w14:textId="70BB627D" w:rsidR="007002E3" w:rsidRPr="000351C1" w:rsidRDefault="007002E3" w:rsidP="007002E3">
                            <w:pPr>
                              <w:pStyle w:val="Title"/>
                              <w:rPr>
                                <w:rFonts w:ascii="Arial" w:hAnsi="Arial" w:cs="Arial"/>
                              </w:rPr>
                            </w:pPr>
                            <w:r w:rsidRPr="000351C1">
                              <w:rPr>
                                <w:rFonts w:ascii="Arial" w:hAnsi="Arial" w:cs="Arial"/>
                              </w:rPr>
                              <w:t>The Ottawa Hospital Annual Report</w:t>
                            </w:r>
                          </w:p>
                          <w:p w14:paraId="6C9125E0" w14:textId="017AE6E9" w:rsidR="007002E3" w:rsidRPr="000351C1" w:rsidRDefault="007002E3" w:rsidP="007002E3">
                            <w:pPr>
                              <w:jc w:val="center"/>
                              <w:rPr>
                                <w:rFonts w:ascii="Arial" w:hAnsi="Arial" w:cs="Arial"/>
                                <w:sz w:val="44"/>
                                <w:szCs w:val="44"/>
                              </w:rPr>
                            </w:pPr>
                            <w:r w:rsidRPr="000351C1">
                              <w:rPr>
                                <w:rFonts w:ascii="Arial" w:hAnsi="Arial" w:cs="Arial"/>
                                <w:sz w:val="44"/>
                                <w:szCs w:val="44"/>
                              </w:rPr>
                              <w:t>20</w:t>
                            </w:r>
                            <w:r w:rsidR="007B65FD">
                              <w:rPr>
                                <w:rFonts w:ascii="Arial" w:hAnsi="Arial" w:cs="Arial"/>
                                <w:sz w:val="44"/>
                                <w:szCs w:val="44"/>
                              </w:rPr>
                              <w:t>18</w:t>
                            </w:r>
                            <w:r w:rsidRPr="000351C1">
                              <w:rPr>
                                <w:rFonts w:ascii="Arial" w:hAnsi="Arial" w:cs="Arial"/>
                                <w:sz w:val="44"/>
                                <w:szCs w:val="44"/>
                              </w:rPr>
                              <w:t>-20</w:t>
                            </w:r>
                            <w:r w:rsidR="007B65FD">
                              <w:rPr>
                                <w:rFonts w:ascii="Arial" w:hAnsi="Arial" w:cs="Arial"/>
                                <w:sz w:val="44"/>
                                <w:szCs w:val="44"/>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CB8CB" id="Rectangle 4" o:spid="_x0000_s1026" alt="&quot;&quot;" style="position:absolute;left:0;text-align:left;margin-left:557.8pt;margin-top:-1in;width:609pt;height:417.75pt;z-index:25166848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" fillcolor="#295d90" strokecolor="#030e13 [484]" strokeweight="1pt">
                <v:textbox>
                  <w:txbxContent>
                    <w:p w14:paraId="669563F5" w14:textId="70BB627D" w:rsidR="007002E3" w:rsidRPr="000351C1" w:rsidRDefault="007002E3" w:rsidP="007002E3">
                      <w:pPr>
                        <w:pStyle w:val="Title"/>
                        <w:rPr>
                          <w:rFonts w:ascii="Arial" w:hAnsi="Arial" w:cs="Arial"/>
                        </w:rPr>
                      </w:pPr>
                      <w:r w:rsidRPr="000351C1">
                        <w:rPr>
                          <w:rFonts w:ascii="Arial" w:hAnsi="Arial" w:cs="Arial"/>
                        </w:rPr>
                        <w:t>The Ottawa Hospital Annual Report</w:t>
                      </w:r>
                    </w:p>
                    <w:p w14:paraId="6C9125E0" w14:textId="017AE6E9" w:rsidR="007002E3" w:rsidRPr="000351C1" w:rsidRDefault="007002E3" w:rsidP="007002E3">
                      <w:pPr>
                        <w:jc w:val="center"/>
                        <w:rPr>
                          <w:rFonts w:ascii="Arial" w:hAnsi="Arial" w:cs="Arial"/>
                          <w:sz w:val="44"/>
                          <w:szCs w:val="44"/>
                        </w:rPr>
                      </w:pPr>
                      <w:r w:rsidRPr="000351C1">
                        <w:rPr>
                          <w:rFonts w:ascii="Arial" w:hAnsi="Arial" w:cs="Arial"/>
                          <w:sz w:val="44"/>
                          <w:szCs w:val="44"/>
                        </w:rPr>
                        <w:t>20</w:t>
                      </w:r>
                      <w:r w:rsidR="007B65FD">
                        <w:rPr>
                          <w:rFonts w:ascii="Arial" w:hAnsi="Arial" w:cs="Arial"/>
                          <w:sz w:val="44"/>
                          <w:szCs w:val="44"/>
                        </w:rPr>
                        <w:t>18</w:t>
                      </w:r>
                      <w:r w:rsidRPr="000351C1">
                        <w:rPr>
                          <w:rFonts w:ascii="Arial" w:hAnsi="Arial" w:cs="Arial"/>
                          <w:sz w:val="44"/>
                          <w:szCs w:val="44"/>
                        </w:rPr>
                        <w:t>-20</w:t>
                      </w:r>
                      <w:r w:rsidR="007B65FD">
                        <w:rPr>
                          <w:rFonts w:ascii="Arial" w:hAnsi="Arial" w:cs="Arial"/>
                          <w:sz w:val="44"/>
                          <w:szCs w:val="44"/>
                        </w:rPr>
                        <w:t>19</w:t>
                      </w:r>
                    </w:p>
                  </w:txbxContent>
                </v:textbox>
                <w10:wrap anchorx="page"/>
              </v:rect>
            </w:pict>
          </mc:Fallback>
        </mc:AlternateContent>
      </w:r>
    </w:p>
    <w:p w14:paraId="03AF8E3E" w14:textId="70C35262" w:rsidR="007002E3" w:rsidRDefault="007002E3">
      <w:pPr>
        <w:rPr>
          <w:rFonts w:asciiTheme="majorHAnsi" w:eastAsiaTheme="majorEastAsia" w:hAnsiTheme="majorHAnsi" w:cstheme="majorBidi"/>
          <w:spacing w:val="-10"/>
          <w:kern w:val="28"/>
          <w:sz w:val="48"/>
          <w:szCs w:val="56"/>
        </w:rPr>
      </w:pPr>
      <w:r>
        <w:br w:type="page"/>
      </w:r>
    </w:p>
    <w:p w14:paraId="022047D2" w14:textId="0F065C93" w:rsidR="004E1792" w:rsidRPr="000351C1" w:rsidRDefault="004E1792" w:rsidP="00A15CD5">
      <w:pPr>
        <w:pStyle w:val="Heading1"/>
      </w:pPr>
      <w:r w:rsidRPr="000351C1">
        <w:lastRenderedPageBreak/>
        <w:t>Messages from leaders</w:t>
      </w:r>
    </w:p>
    <w:p w14:paraId="15DE6892" w14:textId="6964AE52" w:rsidR="004E1792" w:rsidRPr="000351C1" w:rsidRDefault="00745AC2" w:rsidP="00A0149D">
      <w:pPr>
        <w:pStyle w:val="Heading2"/>
      </w:pPr>
      <w:r>
        <w:br/>
      </w:r>
      <w:r w:rsidR="004E1792" w:rsidRPr="000351C1">
        <w:t>The Ottawa Hospital</w:t>
      </w:r>
    </w:p>
    <w:p w14:paraId="1DAAF833" w14:textId="737B999A" w:rsidR="008E0E98" w:rsidRPr="00147FA1" w:rsidRDefault="008E0E98" w:rsidP="005D6049">
      <w:pPr>
        <w:rPr>
          <w:rFonts w:ascii="Arial" w:hAnsi="Arial" w:cs="Arial"/>
          <w:i/>
          <w:iCs/>
        </w:rPr>
      </w:pPr>
      <w:r w:rsidRPr="00147FA1">
        <w:rPr>
          <w:rFonts w:ascii="Arial" w:hAnsi="Arial" w:cs="Arial"/>
          <w:i/>
          <w:iCs/>
        </w:rPr>
        <w:t>On June 1, The Ottawa Hospital and five other health organizations in Eastern Ontario ushered in a new era of care. The Epic digital health network securely organizes and stores patient health records across the six health-care partners. Tell your story once, and wherever you go in the network, members of your health team are connected and ready to help.</w:t>
      </w:r>
      <w:r w:rsidRPr="00147FA1">
        <w:rPr>
          <w:rFonts w:ascii="Arial" w:hAnsi="Arial" w:cs="Arial"/>
          <w:i/>
          <w:iCs/>
        </w:rPr>
        <w:br/>
      </w:r>
      <w:r w:rsidRPr="00147FA1">
        <w:rPr>
          <w:rFonts w:ascii="Arial" w:hAnsi="Arial" w:cs="Arial"/>
          <w:i/>
          <w:iCs/>
        </w:rPr>
        <w:br/>
        <w:t>Patients who sign up for the new MyChart patient portal will have secure access to their digital health records all in one place. Through MyChart, patients can access their health records, test results, and much more from their computer or mobile device. Learn more at </w:t>
      </w:r>
      <w:r w:rsidRPr="00D2332E">
        <w:rPr>
          <w:rFonts w:ascii="Arial" w:hAnsi="Arial" w:cs="Arial"/>
          <w:i/>
          <w:iCs/>
        </w:rPr>
        <w:t>The Ottawa Hospital website.</w:t>
      </w:r>
    </w:p>
    <w:p w14:paraId="2573E54B" w14:textId="7C3023B3" w:rsidR="001B22DF" w:rsidRDefault="001B22DF" w:rsidP="005D6049">
      <w:pPr>
        <w:rPr>
          <w:noProof/>
        </w:rPr>
      </w:pPr>
      <w:r>
        <w:rPr>
          <w:noProof/>
        </w:rPr>
        <w:drawing>
          <wp:anchor distT="0" distB="0" distL="114300" distR="114300" simplePos="0" relativeHeight="251671552" behindDoc="0" locked="0" layoutInCell="1" allowOverlap="1" wp14:anchorId="729FC46F" wp14:editId="08CCDED7">
            <wp:simplePos x="0" y="0"/>
            <wp:positionH relativeFrom="margin">
              <wp:align>left</wp:align>
            </wp:positionH>
            <wp:positionV relativeFrom="paragraph">
              <wp:posOffset>201295</wp:posOffset>
            </wp:positionV>
            <wp:extent cx="3276600" cy="1894205"/>
            <wp:effectExtent l="0" t="0" r="0" b="0"/>
            <wp:wrapSquare wrapText="bothSides"/>
            <wp:docPr id="1481061436" name="Picture 1" descr="Katherine Cotton and Dr K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herine Cotton and Dr Kit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0" cy="189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6DA">
        <w:rPr>
          <w:rFonts w:ascii="Arial" w:hAnsi="Arial" w:cs="Arial"/>
        </w:rPr>
        <w:t xml:space="preserve">                                                                                                                                                                         </w:t>
      </w:r>
      <w:r w:rsidR="00B549D4" w:rsidRPr="00B549D4">
        <w:rPr>
          <w:rFonts w:ascii="Roboto" w:eastAsia="Times New Roman" w:hAnsi="Roboto" w:cs="Times New Roman"/>
          <w:color w:val="434445"/>
          <w:kern w:val="0"/>
          <w:sz w:val="23"/>
          <w:szCs w:val="23"/>
          <w:lang w:eastAsia="en-CA"/>
          <w14:ligatures w14:val="none"/>
        </w:rPr>
        <w:t xml:space="preserve"> </w:t>
      </w:r>
      <w:r w:rsidR="00506EC5">
        <w:rPr>
          <w:rFonts w:ascii="Roboto" w:eastAsia="Times New Roman" w:hAnsi="Roboto" w:cs="Times New Roman"/>
          <w:color w:val="434445"/>
          <w:kern w:val="0"/>
          <w:sz w:val="23"/>
          <w:szCs w:val="23"/>
          <w:lang w:eastAsia="en-CA"/>
          <w14:ligatures w14:val="none"/>
        </w:rPr>
        <w:br/>
      </w:r>
    </w:p>
    <w:p w14:paraId="569864B4" w14:textId="6F975904" w:rsidR="001B22DF" w:rsidRDefault="001B22DF" w:rsidP="005D6049">
      <w:pPr>
        <w:rPr>
          <w:noProof/>
        </w:rPr>
      </w:pPr>
    </w:p>
    <w:p w14:paraId="7C06A35D" w14:textId="2E54C1CF" w:rsidR="001B22DF" w:rsidRDefault="001B22DF" w:rsidP="005D6049">
      <w:pPr>
        <w:rPr>
          <w:noProof/>
        </w:rPr>
      </w:pPr>
    </w:p>
    <w:p w14:paraId="56141FE6" w14:textId="049BEC75" w:rsidR="001B22DF" w:rsidRDefault="001B22DF" w:rsidP="005D6049">
      <w:pPr>
        <w:rPr>
          <w:noProof/>
        </w:rPr>
      </w:pPr>
      <w:r w:rsidRPr="000351C1">
        <w:rPr>
          <w:noProof/>
        </w:rPr>
        <mc:AlternateContent>
          <mc:Choice Requires="wps">
            <w:drawing>
              <wp:anchor distT="0" distB="0" distL="114300" distR="114300" simplePos="0" relativeHeight="251670528" behindDoc="0" locked="0" layoutInCell="1" allowOverlap="1" wp14:anchorId="574F8B23" wp14:editId="0DE4033F">
                <wp:simplePos x="0" y="0"/>
                <wp:positionH relativeFrom="margin">
                  <wp:align>right</wp:align>
                </wp:positionH>
                <wp:positionV relativeFrom="paragraph">
                  <wp:posOffset>508000</wp:posOffset>
                </wp:positionV>
                <wp:extent cx="2565400" cy="476250"/>
                <wp:effectExtent l="0" t="0" r="6350" b="0"/>
                <wp:wrapSquare wrapText="bothSides"/>
                <wp:docPr id="859708731" name="Text Box 1"/>
                <wp:cNvGraphicFramePr/>
                <a:graphic xmlns:a="http://schemas.openxmlformats.org/drawingml/2006/main">
                  <a:graphicData uri="http://schemas.microsoft.com/office/word/2010/wordprocessingShape">
                    <wps:wsp>
                      <wps:cNvSpPr txBox="1"/>
                      <wps:spPr>
                        <a:xfrm>
                          <a:off x="0" y="0"/>
                          <a:ext cx="2565400" cy="476250"/>
                        </a:xfrm>
                        <a:prstGeom prst="rect">
                          <a:avLst/>
                        </a:prstGeom>
                        <a:solidFill>
                          <a:prstClr val="white"/>
                        </a:solidFill>
                        <a:ln>
                          <a:noFill/>
                        </a:ln>
                      </wps:spPr>
                      <wps:txbx>
                        <w:txbxContent>
                          <w:p w14:paraId="539CB3A1" w14:textId="0327E239" w:rsidR="00506EC5" w:rsidRPr="004F4B7D" w:rsidRDefault="00506EC5" w:rsidP="00506EC5">
                            <w:pPr>
                              <w:pStyle w:val="Caption"/>
                              <w:rPr>
                                <w:noProof/>
                                <w:sz w:val="36"/>
                              </w:rPr>
                            </w:pPr>
                            <w:r w:rsidRPr="0090034B">
                              <w:t>Kat</w:t>
                            </w:r>
                            <w:r>
                              <w:t>herine Cotton,</w:t>
                            </w:r>
                            <w:r w:rsidRPr="0090034B">
                              <w:t xml:space="preserve"> Chair, Board of Directors</w:t>
                            </w:r>
                            <w:r w:rsidR="00FC3371">
                              <w:t xml:space="preserve">, The Ottawa Hospital, </w:t>
                            </w:r>
                            <w:r w:rsidR="00FC3371" w:rsidRPr="0090034B">
                              <w:t>and</w:t>
                            </w:r>
                            <w:r w:rsidRPr="0090034B">
                              <w:t xml:space="preserve"> Dr. </w:t>
                            </w:r>
                            <w:r w:rsidR="00FC3371">
                              <w:t xml:space="preserve">Jack Kitts, President and </w:t>
                            </w:r>
                            <w:r w:rsidR="00FC3371" w:rsidRPr="0090034B">
                              <w:t>CEO</w:t>
                            </w:r>
                            <w:r w:rsidR="00FC3371">
                              <w:t>, The Ottawa 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8B23" id="_x0000_t202" coordsize="21600,21600" o:spt="202" path="m,l,21600r21600,l21600,xe">
                <v:stroke joinstyle="miter"/>
                <v:path gradientshapeok="t" o:connecttype="rect"/>
              </v:shapetype>
              <v:shape id="Text Box 1" o:spid="_x0000_s1027" type="#_x0000_t202" style="position:absolute;margin-left:150.8pt;margin-top:40pt;width:202pt;height:3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" stroked="f">
                <v:textbox inset="0,0,0,0">
                  <w:txbxContent>
                    <w:p w14:paraId="539CB3A1" w14:textId="0327E239" w:rsidR="00506EC5" w:rsidRPr="004F4B7D" w:rsidRDefault="00506EC5" w:rsidP="00506EC5">
                      <w:pPr>
                        <w:pStyle w:val="Caption"/>
                        <w:rPr>
                          <w:noProof/>
                          <w:sz w:val="36"/>
                        </w:rPr>
                      </w:pPr>
                      <w:r w:rsidRPr="0090034B">
                        <w:t>Kat</w:t>
                      </w:r>
                      <w:r>
                        <w:t>herine Cotton,</w:t>
                      </w:r>
                      <w:r w:rsidRPr="0090034B">
                        <w:t xml:space="preserve"> Chair, Board of Directors</w:t>
                      </w:r>
                      <w:r w:rsidR="00FC3371">
                        <w:t xml:space="preserve">, The Ottawa Hospital, </w:t>
                      </w:r>
                      <w:r w:rsidR="00FC3371" w:rsidRPr="0090034B">
                        <w:t>and</w:t>
                      </w:r>
                      <w:r w:rsidRPr="0090034B">
                        <w:t xml:space="preserve"> Dr. </w:t>
                      </w:r>
                      <w:r w:rsidR="00FC3371">
                        <w:t xml:space="preserve">Jack Kitts, President and </w:t>
                      </w:r>
                      <w:r w:rsidR="00FC3371" w:rsidRPr="0090034B">
                        <w:t>CEO</w:t>
                      </w:r>
                      <w:r w:rsidR="00FC3371">
                        <w:t>, The Ottawa Hospital</w:t>
                      </w:r>
                    </w:p>
                  </w:txbxContent>
                </v:textbox>
                <w10:wrap type="square" anchorx="margin"/>
              </v:shape>
            </w:pict>
          </mc:Fallback>
        </mc:AlternateContent>
      </w:r>
    </w:p>
    <w:p w14:paraId="16B92D8F" w14:textId="5A3660BF" w:rsidR="001B22DF" w:rsidRDefault="001B22DF" w:rsidP="005D6049">
      <w:pPr>
        <w:rPr>
          <w:noProof/>
        </w:rPr>
      </w:pPr>
    </w:p>
    <w:p w14:paraId="3A58C6D1" w14:textId="77777777" w:rsidR="00147FA1" w:rsidRDefault="00147FA1" w:rsidP="005D6049">
      <w:pPr>
        <w:rPr>
          <w:noProof/>
        </w:rPr>
      </w:pPr>
    </w:p>
    <w:p w14:paraId="0FF79B3B" w14:textId="2E2B4BD4" w:rsidR="005D6049" w:rsidRPr="005D6049" w:rsidRDefault="005D6049" w:rsidP="005D6049">
      <w:pPr>
        <w:rPr>
          <w:noProof/>
        </w:rPr>
      </w:pPr>
      <w:r w:rsidRPr="005D6049">
        <w:rPr>
          <w:noProof/>
        </w:rPr>
        <w:t>Last year, we were all reminded of how tragedy can hit close to home. When the people of Ottawa were faced with </w:t>
      </w:r>
      <w:r w:rsidRPr="0030636B">
        <w:rPr>
          <w:noProof/>
        </w:rPr>
        <w:t>tornadoes</w:t>
      </w:r>
      <w:r w:rsidRPr="005D6049">
        <w:rPr>
          <w:noProof/>
        </w:rPr>
        <w:t> in September 2018 and then a </w:t>
      </w:r>
      <w:r w:rsidRPr="0030636B">
        <w:rPr>
          <w:noProof/>
        </w:rPr>
        <w:t>bus crash</w:t>
      </w:r>
      <w:r w:rsidRPr="005D6049">
        <w:rPr>
          <w:noProof/>
        </w:rPr>
        <w:t> in January 2019, our community came together in many ways to help each other.</w:t>
      </w:r>
    </w:p>
    <w:p w14:paraId="14286094" w14:textId="7F35F42E" w:rsidR="008E0E98" w:rsidRDefault="005D6049" w:rsidP="005D6049">
      <w:pPr>
        <w:rPr>
          <w:noProof/>
        </w:rPr>
      </w:pPr>
      <w:r w:rsidRPr="005D6049">
        <w:rPr>
          <w:noProof/>
        </w:rPr>
        <w:t xml:space="preserve">As the Regional Trauma Centre for Eastern Ontario, The Ottawa Hospital is prepared to respond to large-scale catastrophic events. </w:t>
      </w:r>
    </w:p>
    <w:p w14:paraId="4408F9AE" w14:textId="77777777" w:rsidR="0030636B" w:rsidRDefault="005D6049" w:rsidP="005D6049">
      <w:pPr>
        <w:rPr>
          <w:noProof/>
        </w:rPr>
      </w:pPr>
      <w:r w:rsidRPr="005D6049">
        <w:rPr>
          <w:noProof/>
        </w:rPr>
        <w:t xml:space="preserve">We spend a great deal of time training for all kinds of emergencies so that we are ready when our community needs us. When tragedy strikes, patients can take comfort knowing that a world-class team of health-care professionals and support staff will be there for them in their time of need. And in September 2018 and January 2019, we were ready. </w:t>
      </w:r>
    </w:p>
    <w:p w14:paraId="290AE766" w14:textId="4E08D610" w:rsidR="005D6049" w:rsidRPr="005D6049" w:rsidRDefault="005D6049" w:rsidP="005D6049">
      <w:pPr>
        <w:rPr>
          <w:noProof/>
        </w:rPr>
      </w:pPr>
      <w:r w:rsidRPr="005D6049">
        <w:rPr>
          <w:noProof/>
        </w:rPr>
        <w:lastRenderedPageBreak/>
        <w:t>The Ottawa Hospital’s doctors, nurses, staff and volunteers rallied together to care for the injured and comfort their families.</w:t>
      </w:r>
    </w:p>
    <w:p w14:paraId="225BFA0A" w14:textId="77777777" w:rsidR="005D6049" w:rsidRPr="005D6049" w:rsidRDefault="005D6049" w:rsidP="005D6049">
      <w:pPr>
        <w:rPr>
          <w:noProof/>
        </w:rPr>
      </w:pPr>
      <w:r w:rsidRPr="005D6049">
        <w:rPr>
          <w:noProof/>
        </w:rPr>
        <w:t>Being ready also means being ready for the future – a future that as of June 1st included a new health information system called Epic and a digital patient portal called MyChart. Both of these technologies bring our health care into a secure digital age, while keeping compassionate patient care at the centre of everything we do.</w:t>
      </w:r>
    </w:p>
    <w:p w14:paraId="3D941E23" w14:textId="77777777" w:rsidR="005D6049" w:rsidRPr="005D6049" w:rsidRDefault="005D6049" w:rsidP="005D6049">
      <w:pPr>
        <w:rPr>
          <w:noProof/>
        </w:rPr>
      </w:pPr>
      <w:r w:rsidRPr="005D6049">
        <w:rPr>
          <w:noProof/>
        </w:rPr>
        <w:t>Epic and MyChart are just two of the many inspiring examples of innovation and care from the past year. Others include how 3-D virtual reality could help treat patients with Parkinson’s disease and how staff took part in a special exercise to better understand the needs of First Nation, Métis and Inuit patients and families.</w:t>
      </w:r>
    </w:p>
    <w:p w14:paraId="7654E9A5" w14:textId="77777777" w:rsidR="005D6049" w:rsidRPr="005D6049" w:rsidRDefault="005D6049" w:rsidP="005D6049">
      <w:pPr>
        <w:rPr>
          <w:noProof/>
        </w:rPr>
      </w:pPr>
      <w:r w:rsidRPr="005D6049">
        <w:rPr>
          <w:noProof/>
        </w:rPr>
        <w:t>Our vision is to provide each patient with the world-class care, exceptional service and compassion we would want for our loved ones through our values of compassion, a commitment to quality, working together and respect for the individual. The stories in this report reflect our deep and ongoing commitment to these principles.</w:t>
      </w:r>
    </w:p>
    <w:p w14:paraId="32946357" w14:textId="77777777" w:rsidR="005D6049" w:rsidRPr="005D6049" w:rsidRDefault="005D6049" w:rsidP="005D6049">
      <w:pPr>
        <w:rPr>
          <w:noProof/>
        </w:rPr>
      </w:pPr>
      <w:r w:rsidRPr="005D6049">
        <w:rPr>
          <w:noProof/>
        </w:rPr>
        <w:t>As we enter a digital age, we must always remember that our human connection defines our care. At The Ottawa Hospital, we are proud of the inspiration, compassion and readiness of our people who connect us to this extraordinary community – one patient at a time.</w:t>
      </w:r>
    </w:p>
    <w:p w14:paraId="2A8AB7DE" w14:textId="01B3D8F3" w:rsidR="00222D44" w:rsidRDefault="00222D44" w:rsidP="005D6049">
      <w:pPr>
        <w:rPr>
          <w:rFonts w:ascii="Arial" w:hAnsi="Arial" w:cs="Arial"/>
        </w:rPr>
      </w:pPr>
      <w:r>
        <w:rPr>
          <w:rFonts w:ascii="Arial" w:hAnsi="Arial" w:cs="Arial"/>
        </w:rPr>
        <w:br/>
      </w:r>
      <w:r>
        <w:rPr>
          <w:rFonts w:ascii="Arial" w:hAnsi="Arial" w:cs="Arial"/>
          <w:b/>
          <w:bCs/>
        </w:rPr>
        <w:t>Katherine Cotton</w:t>
      </w:r>
      <w:r w:rsidRPr="000351C1">
        <w:rPr>
          <w:rFonts w:ascii="Arial" w:hAnsi="Arial" w:cs="Arial"/>
        </w:rPr>
        <w:br/>
        <w:t>Chair, Board of Governors, The Ottawa Hospital</w:t>
      </w:r>
      <w:r w:rsidR="003318AA">
        <w:rPr>
          <w:rFonts w:ascii="Arial" w:hAnsi="Arial" w:cs="Arial"/>
        </w:rPr>
        <w:br/>
      </w:r>
      <w:r w:rsidR="003318AA">
        <w:rPr>
          <w:rFonts w:ascii="Arial" w:hAnsi="Arial" w:cs="Arial"/>
          <w:b/>
          <w:bCs/>
        </w:rPr>
        <w:t xml:space="preserve">DR. Jack Kitts </w:t>
      </w:r>
      <w:r w:rsidR="003318AA" w:rsidRPr="000351C1">
        <w:rPr>
          <w:rFonts w:ascii="Arial" w:hAnsi="Arial" w:cs="Arial"/>
        </w:rPr>
        <w:br/>
        <w:t>President and CEO of The Ottawa Hospital</w:t>
      </w:r>
    </w:p>
    <w:p w14:paraId="13BC9B2D" w14:textId="77777777" w:rsidR="00781BF4" w:rsidRDefault="00781BF4" w:rsidP="005D6049">
      <w:pPr>
        <w:rPr>
          <w:rFonts w:ascii="Arial" w:hAnsi="Arial" w:cs="Arial"/>
        </w:rPr>
      </w:pPr>
    </w:p>
    <w:p w14:paraId="361CD51C" w14:textId="77777777" w:rsidR="00781BF4" w:rsidRDefault="00781BF4" w:rsidP="005D6049">
      <w:pPr>
        <w:rPr>
          <w:rFonts w:ascii="Arial" w:hAnsi="Arial" w:cs="Arial"/>
        </w:rPr>
      </w:pPr>
    </w:p>
    <w:p w14:paraId="28B44038" w14:textId="77777777" w:rsidR="00781BF4" w:rsidRPr="003318AA" w:rsidRDefault="00781BF4" w:rsidP="005D6049">
      <w:pPr>
        <w:rPr>
          <w:noProof/>
        </w:rPr>
      </w:pPr>
    </w:p>
    <w:p w14:paraId="2E64FEAC" w14:textId="7D6331E1" w:rsidR="00B623AF" w:rsidRDefault="00B623AF" w:rsidP="00B623AF">
      <w:pPr>
        <w:rPr>
          <w:rFonts w:ascii="Arial" w:hAnsi="Arial" w:cs="Arial"/>
        </w:rPr>
      </w:pPr>
    </w:p>
    <w:p w14:paraId="6C333891" w14:textId="77777777" w:rsidR="00781BF4" w:rsidRDefault="00781BF4" w:rsidP="00A0149D">
      <w:pPr>
        <w:pStyle w:val="Heading2"/>
      </w:pPr>
    </w:p>
    <w:p w14:paraId="300F56C3" w14:textId="77777777" w:rsidR="00AB0B37" w:rsidRDefault="00AB0B37">
      <w:pPr>
        <w:rPr>
          <w:rFonts w:ascii="Arial" w:eastAsiaTheme="majorEastAsia" w:hAnsi="Arial" w:cs="Arial"/>
          <w:b/>
          <w:bCs/>
          <w:color w:val="000000" w:themeColor="text1"/>
          <w:sz w:val="32"/>
          <w:szCs w:val="32"/>
        </w:rPr>
      </w:pPr>
      <w:r>
        <w:br w:type="page"/>
      </w:r>
    </w:p>
    <w:p w14:paraId="75B60550" w14:textId="5CA97EF3" w:rsidR="00781BF4" w:rsidRDefault="00AB0B37" w:rsidP="00AB0B37">
      <w:pPr>
        <w:pStyle w:val="Heading2"/>
      </w:pPr>
      <w:r>
        <w:lastRenderedPageBreak/>
        <w:br/>
      </w:r>
      <w:r w:rsidR="00CC7A26" w:rsidRPr="000351C1">
        <w:t>Ottawa Hospital Research Institute</w:t>
      </w:r>
    </w:p>
    <w:p w14:paraId="2CB515D6" w14:textId="361469B8" w:rsidR="00B642DF" w:rsidRDefault="00B642DF" w:rsidP="00781BF4">
      <w:pPr>
        <w:rPr>
          <w:noProof/>
        </w:rPr>
      </w:pPr>
      <w:r>
        <w:rPr>
          <w:noProof/>
        </w:rPr>
        <w:drawing>
          <wp:anchor distT="0" distB="0" distL="114300" distR="114300" simplePos="0" relativeHeight="251672576" behindDoc="0" locked="0" layoutInCell="1" allowOverlap="1" wp14:anchorId="138E50A5" wp14:editId="0D7235CB">
            <wp:simplePos x="0" y="0"/>
            <wp:positionH relativeFrom="column">
              <wp:posOffset>69850</wp:posOffset>
            </wp:positionH>
            <wp:positionV relativeFrom="paragraph">
              <wp:posOffset>5080</wp:posOffset>
            </wp:positionV>
            <wp:extent cx="2063750" cy="2579688"/>
            <wp:effectExtent l="0" t="0" r="0" b="0"/>
            <wp:wrapSquare wrapText="bothSides"/>
            <wp:docPr id="1" name="Picture 1" descr="Dr. Duncan Stewart and Patricia Koss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Duncan Stewart and Patricia Kossei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750" cy="2579688"/>
                    </a:xfrm>
                    <a:prstGeom prst="rect">
                      <a:avLst/>
                    </a:prstGeom>
                    <a:noFill/>
                    <a:ln>
                      <a:noFill/>
                    </a:ln>
                  </pic:spPr>
                </pic:pic>
              </a:graphicData>
            </a:graphic>
          </wp:anchor>
        </w:drawing>
      </w:r>
    </w:p>
    <w:p w14:paraId="182AE2A7" w14:textId="0162A0A8" w:rsidR="00B642DF" w:rsidRDefault="00B642DF" w:rsidP="00781BF4">
      <w:pPr>
        <w:rPr>
          <w:noProof/>
        </w:rPr>
      </w:pPr>
    </w:p>
    <w:p w14:paraId="537ACF02" w14:textId="20EABF25" w:rsidR="00B642DF" w:rsidRDefault="00B642DF" w:rsidP="00781BF4">
      <w:pPr>
        <w:rPr>
          <w:noProof/>
        </w:rPr>
      </w:pPr>
    </w:p>
    <w:p w14:paraId="5766D860" w14:textId="6E2F6707" w:rsidR="00B642DF" w:rsidRDefault="00B642DF" w:rsidP="00781BF4">
      <w:pPr>
        <w:rPr>
          <w:noProof/>
        </w:rPr>
      </w:pPr>
    </w:p>
    <w:p w14:paraId="34B97BD1" w14:textId="0BAC67DD" w:rsidR="00B642DF" w:rsidRDefault="00B642DF" w:rsidP="00781BF4">
      <w:pPr>
        <w:rPr>
          <w:noProof/>
        </w:rPr>
      </w:pPr>
    </w:p>
    <w:p w14:paraId="2173151D" w14:textId="2B9063BE" w:rsidR="00B642DF" w:rsidRDefault="00B642DF" w:rsidP="00781BF4">
      <w:pPr>
        <w:rPr>
          <w:noProof/>
        </w:rPr>
      </w:pPr>
      <w:r w:rsidRPr="000351C1">
        <w:rPr>
          <w:noProof/>
        </w:rPr>
        <mc:AlternateContent>
          <mc:Choice Requires="wps">
            <w:drawing>
              <wp:anchor distT="0" distB="0" distL="114300" distR="114300" simplePos="0" relativeHeight="251674624" behindDoc="0" locked="0" layoutInCell="1" allowOverlap="1" wp14:anchorId="41A40B5D" wp14:editId="7FC69E6D">
                <wp:simplePos x="0" y="0"/>
                <wp:positionH relativeFrom="margin">
                  <wp:align>right</wp:align>
                </wp:positionH>
                <wp:positionV relativeFrom="paragraph">
                  <wp:posOffset>410845</wp:posOffset>
                </wp:positionV>
                <wp:extent cx="3708400" cy="571500"/>
                <wp:effectExtent l="0" t="0" r="6350" b="0"/>
                <wp:wrapSquare wrapText="bothSides"/>
                <wp:docPr id="2137746482" name="Text Box 1"/>
                <wp:cNvGraphicFramePr/>
                <a:graphic xmlns:a="http://schemas.openxmlformats.org/drawingml/2006/main">
                  <a:graphicData uri="http://schemas.microsoft.com/office/word/2010/wordprocessingShape">
                    <wps:wsp>
                      <wps:cNvSpPr txBox="1"/>
                      <wps:spPr>
                        <a:xfrm>
                          <a:off x="0" y="0"/>
                          <a:ext cx="3708400" cy="571500"/>
                        </a:xfrm>
                        <a:prstGeom prst="rect">
                          <a:avLst/>
                        </a:prstGeom>
                        <a:solidFill>
                          <a:prstClr val="white"/>
                        </a:solidFill>
                        <a:ln>
                          <a:noFill/>
                        </a:ln>
                      </wps:spPr>
                      <wps:txbx>
                        <w:txbxContent>
                          <w:p w14:paraId="3A522832" w14:textId="2023F634" w:rsidR="00B642DF" w:rsidRPr="004F4B7D" w:rsidRDefault="00B642DF" w:rsidP="00B642DF">
                            <w:pPr>
                              <w:pStyle w:val="Caption"/>
                              <w:rPr>
                                <w:noProof/>
                                <w:sz w:val="36"/>
                              </w:rPr>
                            </w:pPr>
                            <w:r w:rsidRPr="0090034B">
                              <w:t>Dr. Duncan Stewart</w:t>
                            </w:r>
                            <w:r>
                              <w:t>,</w:t>
                            </w:r>
                            <w:r w:rsidRPr="0090034B">
                              <w:t xml:space="preserve"> CEO and Scientific Di</w:t>
                            </w:r>
                            <w:r>
                              <w:t>r</w:t>
                            </w:r>
                            <w:r w:rsidRPr="0090034B">
                              <w:t>ector</w:t>
                            </w:r>
                            <w:r>
                              <w:t xml:space="preserve">, The Ottawa Hospital Research Institute, Executive Vice-President, Research, The Ottawa Hospital, Professor, University of Ottawa and Patricia </w:t>
                            </w:r>
                            <w:proofErr w:type="spellStart"/>
                            <w:r>
                              <w:t>Kosseim</w:t>
                            </w:r>
                            <w:proofErr w:type="spellEnd"/>
                            <w:r>
                              <w:t xml:space="preserve">, </w:t>
                            </w:r>
                            <w:r w:rsidRPr="0090034B">
                              <w:t>Chair, Board of Directors</w:t>
                            </w:r>
                            <w:r>
                              <w:t>, The Ottawa Hospital Research Institute.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0B5D" id="_x0000_s1028" type="#_x0000_t202" style="position:absolute;margin-left:240.8pt;margin-top:32.35pt;width:292pt;height:4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" stroked="f">
                <v:textbox inset="0,0,0,0">
                  <w:txbxContent>
                    <w:p w14:paraId="3A522832" w14:textId="2023F634" w:rsidR="00B642DF" w:rsidRPr="004F4B7D" w:rsidRDefault="00B642DF" w:rsidP="00B642DF">
                      <w:pPr>
                        <w:pStyle w:val="Caption"/>
                        <w:rPr>
                          <w:noProof/>
                          <w:sz w:val="36"/>
                        </w:rPr>
                      </w:pPr>
                      <w:r w:rsidRPr="0090034B">
                        <w:t>Dr. Duncan Stewart</w:t>
                      </w:r>
                      <w:r>
                        <w:t>,</w:t>
                      </w:r>
                      <w:r w:rsidRPr="0090034B">
                        <w:t xml:space="preserve"> CEO and Scientific Di</w:t>
                      </w:r>
                      <w:r>
                        <w:t>r</w:t>
                      </w:r>
                      <w:r w:rsidRPr="0090034B">
                        <w:t>ector</w:t>
                      </w:r>
                      <w:r>
                        <w:t>, The Ottawa Hospital Research Institute, Executive Vice-President, Research, The Ottawa Hospital, Professor, University of Ottawa</w:t>
                      </w:r>
                      <w:r>
                        <w:t xml:space="preserve"> and </w:t>
                      </w:r>
                      <w:r>
                        <w:t xml:space="preserve">Patricia </w:t>
                      </w:r>
                      <w:proofErr w:type="spellStart"/>
                      <w:r>
                        <w:t>Kosseim</w:t>
                      </w:r>
                      <w:proofErr w:type="spellEnd"/>
                      <w:r>
                        <w:t xml:space="preserve">, </w:t>
                      </w:r>
                      <w:r w:rsidRPr="0090034B">
                        <w:t>Chair, Board of Directors</w:t>
                      </w:r>
                      <w:r>
                        <w:t>, The Ottawa Hospital Research Institute</w:t>
                      </w:r>
                      <w:r>
                        <w:t>.</w:t>
                      </w:r>
                    </w:p>
                  </w:txbxContent>
                </v:textbox>
                <w10:wrap type="square" anchorx="margin"/>
              </v:shape>
            </w:pict>
          </mc:Fallback>
        </mc:AlternateContent>
      </w:r>
    </w:p>
    <w:p w14:paraId="0FDD5D54" w14:textId="77777777" w:rsidR="00B642DF" w:rsidRDefault="00B642DF" w:rsidP="00781BF4">
      <w:pPr>
        <w:rPr>
          <w:noProof/>
        </w:rPr>
      </w:pPr>
    </w:p>
    <w:p w14:paraId="3F997380" w14:textId="6944CF9B" w:rsidR="00781BF4" w:rsidRPr="00781BF4" w:rsidRDefault="00781BF4" w:rsidP="00781BF4">
      <w:pPr>
        <w:rPr>
          <w:noProof/>
        </w:rPr>
      </w:pPr>
      <w:r w:rsidRPr="00781BF4">
        <w:rPr>
          <w:noProof/>
        </w:rPr>
        <w:t>Patients and families have come to expect world-class, compassionate care at The Ottawa Hospital and research is one of the key ingredients that makes this possible. Research allows us to offer innovative new therapies and continuously improve our techniques and practices. It also provides hope at times when people may have little else.</w:t>
      </w:r>
    </w:p>
    <w:p w14:paraId="7CF0CF30" w14:textId="6DFBE08D" w:rsidR="00781BF4" w:rsidRPr="00781BF4" w:rsidRDefault="00781BF4" w:rsidP="00781BF4">
      <w:pPr>
        <w:rPr>
          <w:noProof/>
        </w:rPr>
      </w:pPr>
      <w:r w:rsidRPr="00781BF4">
        <w:rPr>
          <w:noProof/>
        </w:rPr>
        <w:t>All of our researchers are driven not only by the desire to advance science, but also by the real, positive impact their research can have on improving the health and lives of patients. For example, Dr. Rebecca Auer, our </w:t>
      </w:r>
      <w:hyperlink r:id="rId12" w:history="1">
        <w:r w:rsidRPr="00781BF4">
          <w:rPr>
            <w:rStyle w:val="Hyperlink"/>
            <w:noProof/>
          </w:rPr>
          <w:t>new head of cancer research</w:t>
        </w:r>
      </w:hyperlink>
      <w:r w:rsidRPr="00781BF4">
        <w:rPr>
          <w:noProof/>
        </w:rPr>
        <w:t>, has seen how research gives her patients hope. When she isn’t meeting with patients or removing their tumours in the operating room, she’s working in the lab and leading clinical trials of innovative new treatments. Her colleague, Dr. William Stanford, a basic researcher in stem cell biology, also understands the need for hope and patients have inspired him to develop promising strategies to </w:t>
      </w:r>
      <w:hyperlink r:id="rId13" w:history="1">
        <w:r w:rsidRPr="00781BF4">
          <w:rPr>
            <w:rStyle w:val="Hyperlink"/>
            <w:noProof/>
          </w:rPr>
          <w:t>treat blood cancer and rare lung diseases.</w:t>
        </w:r>
      </w:hyperlink>
    </w:p>
    <w:p w14:paraId="3D494E89" w14:textId="77777777" w:rsidR="00781BF4" w:rsidRPr="00781BF4" w:rsidRDefault="00781BF4" w:rsidP="00781BF4">
      <w:pPr>
        <w:rPr>
          <w:noProof/>
        </w:rPr>
      </w:pPr>
      <w:r w:rsidRPr="00781BF4">
        <w:rPr>
          <w:noProof/>
        </w:rPr>
        <w:t>The Ottawa Hospital is a leader in moving research into everyday practice. For example, a clinical trial led by Dr. Marc Carrier and Dr. Philip Wells is already changing how cancer is treated around the world and </w:t>
      </w:r>
      <w:hyperlink r:id="rId14" w:history="1">
        <w:r w:rsidRPr="00781BF4">
          <w:rPr>
            <w:rStyle w:val="Hyperlink"/>
            <w:noProof/>
          </w:rPr>
          <w:t>sparing thousands of patients from dangerous blood clots.</w:t>
        </w:r>
      </w:hyperlink>
      <w:r w:rsidRPr="00781BF4">
        <w:rPr>
          <w:noProof/>
        </w:rPr>
        <w:t> Similarly, Dr. Venkatesh Thiruganasambandamoorthy’s team has developed new guidelines that can identify which </w:t>
      </w:r>
      <w:hyperlink r:id="rId15" w:history="1">
        <w:r w:rsidRPr="00781BF4">
          <w:rPr>
            <w:rStyle w:val="Hyperlink"/>
            <w:noProof/>
          </w:rPr>
          <w:t>patients who faint need to receive specialized care for potential heart problems.</w:t>
        </w:r>
      </w:hyperlink>
    </w:p>
    <w:p w14:paraId="4056BF67" w14:textId="0567C26D" w:rsidR="00781BF4" w:rsidRPr="00781BF4" w:rsidRDefault="00781BF4" w:rsidP="00781BF4">
      <w:pPr>
        <w:rPr>
          <w:noProof/>
        </w:rPr>
      </w:pPr>
      <w:r w:rsidRPr="00781BF4">
        <w:rPr>
          <w:noProof/>
        </w:rPr>
        <w:t xml:space="preserve">In addition to changing lives here in Ottawa, our research has global reach. The number of highly influential research papers we publish has grown by 50 percent over the last three </w:t>
      </w:r>
      <w:r w:rsidRPr="00781BF4">
        <w:rPr>
          <w:noProof/>
        </w:rPr>
        <w:lastRenderedPageBreak/>
        <w:t>years. The Ottawa Hospital is also one of the top hospitals in Canada for attracting external research funding, ranking third out of more than 600 hospitals for funding from the Canadian Institutes of Health Research, and</w:t>
      </w:r>
      <w:r w:rsidRPr="00781BF4">
        <w:rPr>
          <w:rFonts w:ascii="Arial" w:hAnsi="Arial" w:cs="Arial"/>
          <w:noProof/>
        </w:rPr>
        <w:t> </w:t>
      </w:r>
      <w:hyperlink r:id="rId16" w:history="1">
        <w:r w:rsidRPr="00781BF4">
          <w:rPr>
            <w:rStyle w:val="Hyperlink"/>
            <w:noProof/>
          </w:rPr>
          <w:t>fifth for overall research funding.</w:t>
        </w:r>
      </w:hyperlink>
    </w:p>
    <w:p w14:paraId="5AF99FE4" w14:textId="713F6501" w:rsidR="00781BF4" w:rsidRPr="00781BF4" w:rsidRDefault="00781BF4" w:rsidP="00781BF4">
      <w:pPr>
        <w:rPr>
          <w:noProof/>
        </w:rPr>
      </w:pPr>
      <w:r w:rsidRPr="00781BF4">
        <w:rPr>
          <w:noProof/>
        </w:rPr>
        <w:t>We thank all our researchers, staff, trainees and volunteers for their dedication and hard work, which is redesigning the future of health care. We also thank our partners at the University of Ottawa as well as our many generous donors, through The Ottawa Hospital Foundation.</w:t>
      </w:r>
    </w:p>
    <w:p w14:paraId="3577E6FD" w14:textId="184A647F" w:rsidR="00781BF4" w:rsidRPr="00781BF4" w:rsidRDefault="00781BF4" w:rsidP="00781BF4">
      <w:pPr>
        <w:rPr>
          <w:noProof/>
        </w:rPr>
      </w:pPr>
      <w:r w:rsidRPr="00781BF4">
        <w:rPr>
          <w:noProof/>
        </w:rPr>
        <w:t>But our biggest thanks of all goes to the individual patients who put their trust in us by agreeing to participate in our studies and helping us solve some of the most vexing health issues of our time for the benefit of their families, other patients like them and future generations to follow.</w:t>
      </w:r>
    </w:p>
    <w:p w14:paraId="48756114" w14:textId="452FC386" w:rsidR="00CC7A26" w:rsidRPr="000351C1" w:rsidRDefault="00BA5D84" w:rsidP="00CC7A26">
      <w:pPr>
        <w:rPr>
          <w:rFonts w:ascii="Arial" w:hAnsi="Arial" w:cs="Arial"/>
        </w:rPr>
      </w:pPr>
      <w:r>
        <w:rPr>
          <w:rFonts w:ascii="Arial" w:hAnsi="Arial" w:cs="Arial"/>
          <w:b/>
          <w:bCs/>
        </w:rPr>
        <w:t>Patricia Kosseim</w:t>
      </w:r>
      <w:r w:rsidR="00CC7A26" w:rsidRPr="000351C1">
        <w:rPr>
          <w:rFonts w:ascii="Arial" w:hAnsi="Arial" w:cs="Arial"/>
        </w:rPr>
        <w:br/>
        <w:t>Chair, Board of Directors, Ottawa Hospital Research Institute</w:t>
      </w:r>
    </w:p>
    <w:p w14:paraId="1A67965F" w14:textId="3EF6DDB7" w:rsidR="000351C1" w:rsidRPr="00A15CD5" w:rsidRDefault="00CC7A26" w:rsidP="000351C1">
      <w:pPr>
        <w:rPr>
          <w:rFonts w:ascii="Arial" w:hAnsi="Arial" w:cs="Arial"/>
        </w:rPr>
      </w:pPr>
      <w:r w:rsidRPr="000351C1">
        <w:rPr>
          <w:rFonts w:ascii="Arial" w:hAnsi="Arial" w:cs="Arial"/>
          <w:b/>
          <w:bCs/>
        </w:rPr>
        <w:t>Dr. Duncan Stewart</w:t>
      </w:r>
      <w:r w:rsidRPr="000351C1">
        <w:rPr>
          <w:rFonts w:ascii="Arial" w:hAnsi="Arial" w:cs="Arial"/>
        </w:rPr>
        <w:br/>
        <w:t>CEO and Scientific Director, Ottawa Hospital Research Institute</w:t>
      </w:r>
      <w:r w:rsidRPr="000351C1">
        <w:rPr>
          <w:rFonts w:ascii="Arial" w:hAnsi="Arial" w:cs="Arial"/>
        </w:rPr>
        <w:br/>
        <w:t>Executive Vice-President, Research, The Ottawa Hospital</w:t>
      </w:r>
      <w:r w:rsidRPr="000351C1">
        <w:rPr>
          <w:rFonts w:ascii="Arial" w:hAnsi="Arial" w:cs="Arial"/>
        </w:rPr>
        <w:br/>
        <w:t>Professor, University of Ottawa</w:t>
      </w:r>
    </w:p>
    <w:p w14:paraId="17E4E381" w14:textId="15B35404" w:rsidR="00955EEF" w:rsidRDefault="005D6531" w:rsidP="005D6531">
      <w:r>
        <w:br/>
      </w:r>
    </w:p>
    <w:p w14:paraId="591B75C3" w14:textId="77777777" w:rsidR="006B387D" w:rsidRDefault="006B387D">
      <w:pPr>
        <w:rPr>
          <w:rFonts w:ascii="Arial" w:eastAsiaTheme="majorEastAsia" w:hAnsi="Arial" w:cs="Arial"/>
          <w:b/>
          <w:bCs/>
          <w:color w:val="000000" w:themeColor="text1"/>
          <w:sz w:val="32"/>
          <w:szCs w:val="32"/>
        </w:rPr>
      </w:pPr>
      <w:r>
        <w:br w:type="page"/>
      </w:r>
    </w:p>
    <w:p w14:paraId="6E769E9F" w14:textId="23B45B33" w:rsidR="00CC7A26" w:rsidRPr="000351C1" w:rsidRDefault="00942B75" w:rsidP="00A0149D">
      <w:pPr>
        <w:pStyle w:val="Heading2"/>
      </w:pPr>
      <w:r w:rsidRPr="000351C1">
        <w:lastRenderedPageBreak/>
        <w:t>The Ottawa Hospital Foundation</w:t>
      </w:r>
    </w:p>
    <w:p w14:paraId="30AA52DA" w14:textId="7FE0963C" w:rsidR="0010701A" w:rsidRDefault="006B387D" w:rsidP="006B387D">
      <w:r w:rsidRPr="00FA2ADB">
        <w:rPr>
          <w:rFonts w:ascii="Arial" w:hAnsi="Arial" w:cs="Arial"/>
          <w:noProof/>
        </w:rPr>
        <w:drawing>
          <wp:anchor distT="0" distB="0" distL="114300" distR="114300" simplePos="0" relativeHeight="251675648" behindDoc="0" locked="0" layoutInCell="1" allowOverlap="1" wp14:anchorId="648E2EB4" wp14:editId="6E2EA99B">
            <wp:simplePos x="0" y="0"/>
            <wp:positionH relativeFrom="column">
              <wp:posOffset>88900</wp:posOffset>
            </wp:positionH>
            <wp:positionV relativeFrom="paragraph">
              <wp:posOffset>12700</wp:posOffset>
            </wp:positionV>
            <wp:extent cx="2306320" cy="2882900"/>
            <wp:effectExtent l="0" t="0" r="0" b="0"/>
            <wp:wrapSquare wrapText="bothSides"/>
            <wp:docPr id="1010577834" name="Picture 6" descr="Tim Kluke and Jim Har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 Kluke and Jim Harm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6320" cy="288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ADB" w:rsidRPr="00FA2ADB">
        <w:t xml:space="preserve"> </w:t>
      </w:r>
    </w:p>
    <w:p w14:paraId="5A724DCA" w14:textId="761E891E" w:rsidR="0010701A" w:rsidRDefault="0010701A" w:rsidP="006B387D"/>
    <w:p w14:paraId="3E29E3C1" w14:textId="61EE995E" w:rsidR="0010701A" w:rsidRDefault="0010701A" w:rsidP="006B387D"/>
    <w:p w14:paraId="42CBC8B2" w14:textId="33F2221A" w:rsidR="0010701A" w:rsidRDefault="0010701A" w:rsidP="006B387D"/>
    <w:p w14:paraId="72782300" w14:textId="0E620BE8" w:rsidR="0010701A" w:rsidRDefault="0010701A" w:rsidP="006B387D"/>
    <w:p w14:paraId="0849420F" w14:textId="155BDD6F" w:rsidR="0010701A" w:rsidRDefault="0010701A" w:rsidP="006B387D"/>
    <w:p w14:paraId="7F1C16FF" w14:textId="5C40BF3E" w:rsidR="0010701A" w:rsidRDefault="0010701A" w:rsidP="006B387D"/>
    <w:p w14:paraId="08ACBE27" w14:textId="7BFA7261" w:rsidR="0010701A" w:rsidRDefault="0010701A" w:rsidP="006B387D"/>
    <w:p w14:paraId="49BC0C03" w14:textId="5202FB4F" w:rsidR="0010701A" w:rsidRDefault="0010701A" w:rsidP="006B387D">
      <w:r w:rsidRPr="000351C1">
        <w:rPr>
          <w:noProof/>
        </w:rPr>
        <mc:AlternateContent>
          <mc:Choice Requires="wps">
            <w:drawing>
              <wp:anchor distT="0" distB="0" distL="114300" distR="114300" simplePos="0" relativeHeight="251665408" behindDoc="0" locked="0" layoutInCell="1" allowOverlap="1" wp14:anchorId="1FD4DCF3" wp14:editId="6C6CCFF2">
                <wp:simplePos x="0" y="0"/>
                <wp:positionH relativeFrom="margin">
                  <wp:posOffset>2527300</wp:posOffset>
                </wp:positionH>
                <wp:positionV relativeFrom="paragraph">
                  <wp:posOffset>9525</wp:posOffset>
                </wp:positionV>
                <wp:extent cx="2863850" cy="311150"/>
                <wp:effectExtent l="0" t="0" r="0" b="0"/>
                <wp:wrapSquare wrapText="bothSides"/>
                <wp:docPr id="1265708162" name="Text Box 1"/>
                <wp:cNvGraphicFramePr/>
                <a:graphic xmlns:a="http://schemas.openxmlformats.org/drawingml/2006/main">
                  <a:graphicData uri="http://schemas.microsoft.com/office/word/2010/wordprocessingShape">
                    <wps:wsp>
                      <wps:cNvSpPr txBox="1"/>
                      <wps:spPr>
                        <a:xfrm>
                          <a:off x="0" y="0"/>
                          <a:ext cx="2863850" cy="311150"/>
                        </a:xfrm>
                        <a:prstGeom prst="rect">
                          <a:avLst/>
                        </a:prstGeom>
                        <a:solidFill>
                          <a:prstClr val="white"/>
                        </a:solidFill>
                        <a:ln>
                          <a:noFill/>
                        </a:ln>
                      </wps:spPr>
                      <wps:txbx>
                        <w:txbxContent>
                          <w:p w14:paraId="68CB6ECB" w14:textId="6B5B9A9A" w:rsidR="00206B80" w:rsidRPr="004F4B7D" w:rsidRDefault="00C57529" w:rsidP="00206B80">
                            <w:pPr>
                              <w:pStyle w:val="Caption"/>
                              <w:rPr>
                                <w:noProof/>
                                <w:sz w:val="36"/>
                              </w:rPr>
                            </w:pPr>
                            <w:r>
                              <w:t>Tim Kluke, President and CEO, The Ottawa Hospital Foundation</w:t>
                            </w:r>
                            <w:r w:rsidR="00454613">
                              <w:t xml:space="preserve"> and </w:t>
                            </w:r>
                            <w:r w:rsidR="00022F57">
                              <w:t>Jim Harmon</w:t>
                            </w:r>
                            <w:r>
                              <w:t>,</w:t>
                            </w:r>
                            <w:r w:rsidR="00206B80" w:rsidRPr="0090034B">
                              <w:t xml:space="preserve"> Chair, Board of Directors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4DCF3" id="_x0000_s1029" type="#_x0000_t202" style="position:absolute;margin-left:199pt;margin-top:.75pt;width:225.5pt;height: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" stroked="f">
                <v:textbox inset="0,0,0,0">
                  <w:txbxContent>
                    <w:p w14:paraId="68CB6ECB" w14:textId="6B5B9A9A" w:rsidR="00206B80" w:rsidRPr="004F4B7D" w:rsidRDefault="00C57529" w:rsidP="00206B80">
                      <w:pPr>
                        <w:pStyle w:val="Caption"/>
                        <w:rPr>
                          <w:noProof/>
                          <w:sz w:val="36"/>
                        </w:rPr>
                      </w:pPr>
                      <w:r>
                        <w:t>Tim Kluke, President and CEO, The Ottawa Hospital Foundation</w:t>
                      </w:r>
                      <w:r w:rsidR="00454613">
                        <w:t xml:space="preserve"> and </w:t>
                      </w:r>
                      <w:r w:rsidR="00022F57">
                        <w:t>Jim Harmon</w:t>
                      </w:r>
                      <w:r>
                        <w:t>,</w:t>
                      </w:r>
                      <w:r w:rsidR="00206B80" w:rsidRPr="0090034B">
                        <w:t xml:space="preserve"> Chair, Board of Directors </w:t>
                      </w:r>
                    </w:p>
                  </w:txbxContent>
                </v:textbox>
                <w10:wrap type="square" anchorx="margin"/>
              </v:shape>
            </w:pict>
          </mc:Fallback>
        </mc:AlternateContent>
      </w:r>
    </w:p>
    <w:p w14:paraId="1663FD69" w14:textId="77777777" w:rsidR="0010701A" w:rsidRDefault="0010701A" w:rsidP="006B387D"/>
    <w:p w14:paraId="26EB8575" w14:textId="4E25ACD3" w:rsidR="006B387D" w:rsidRPr="006B387D" w:rsidRDefault="006B387D" w:rsidP="006B387D">
      <w:pPr>
        <w:rPr>
          <w:rFonts w:ascii="Arial" w:hAnsi="Arial" w:cs="Arial"/>
          <w:noProof/>
        </w:rPr>
      </w:pPr>
      <w:r w:rsidRPr="006B387D">
        <w:rPr>
          <w:rFonts w:ascii="Arial" w:hAnsi="Arial" w:cs="Arial"/>
          <w:noProof/>
        </w:rPr>
        <w:t>In September 2018, the doors opened at the Rose Ages Breast Health Centre, marking the wonderful close of an ambitious $14 million fundraising campaign that highlighted our community’s outstanding generosity. A month later, six 11-year-old children arrived at the new centre with a sandwich bag of money, all $247.95 of it, to donate to breast cancer research and the legacy of a healthy tomorrow for a hospital they will in all likelihood use in the future.</w:t>
      </w:r>
    </w:p>
    <w:p w14:paraId="346BAC27" w14:textId="1DFF1C69" w:rsidR="006B387D" w:rsidRPr="006B387D" w:rsidRDefault="006B387D" w:rsidP="006B387D">
      <w:pPr>
        <w:rPr>
          <w:rFonts w:ascii="Arial" w:hAnsi="Arial" w:cs="Arial"/>
          <w:noProof/>
        </w:rPr>
      </w:pPr>
      <w:r w:rsidRPr="006B387D">
        <w:rPr>
          <w:rFonts w:ascii="Arial" w:hAnsi="Arial" w:cs="Arial"/>
          <w:noProof/>
        </w:rPr>
        <w:t>Philanthropy does change lives today and for tomorrow, in Ottawa and around the world. It is generous community support that enables us to open new centres of health-care excellence. It leads to exciting advances in technology, such as using 3D printers and virtual reality to help surgeons. It boosts research that makes new healing treatments possible, such as with immunotherapy and stem cells. And it enables us to conduct innovative, first-in-human clinical trials to improve treatment for devastating diseases.</w:t>
      </w:r>
    </w:p>
    <w:p w14:paraId="21B8150F" w14:textId="77777777" w:rsidR="006B387D" w:rsidRPr="006B387D" w:rsidRDefault="006B387D" w:rsidP="006B387D">
      <w:pPr>
        <w:rPr>
          <w:rFonts w:ascii="Arial" w:hAnsi="Arial" w:cs="Arial"/>
          <w:noProof/>
        </w:rPr>
      </w:pPr>
      <w:r w:rsidRPr="006B387D">
        <w:rPr>
          <w:rFonts w:ascii="Arial" w:hAnsi="Arial" w:cs="Arial"/>
          <w:noProof/>
        </w:rPr>
        <w:t>The bottom line is our talented scientists and physicians can't do cutting-edge research or revolutionize health care without donors who help provide the necessary tools — such as the labs and state-of the-art equipment. Community support plays a huge role in achieving the astounding results and changing patient outcomes you will read about in this annual report.</w:t>
      </w:r>
    </w:p>
    <w:p w14:paraId="2E0C9F77" w14:textId="77777777" w:rsidR="006B387D" w:rsidRPr="006B387D" w:rsidRDefault="006B387D" w:rsidP="006B387D">
      <w:pPr>
        <w:rPr>
          <w:rFonts w:ascii="Arial" w:hAnsi="Arial" w:cs="Arial"/>
          <w:noProof/>
        </w:rPr>
      </w:pPr>
      <w:r w:rsidRPr="006B387D">
        <w:rPr>
          <w:rFonts w:ascii="Arial" w:hAnsi="Arial" w:cs="Arial"/>
          <w:noProof/>
        </w:rPr>
        <w:t xml:space="preserve">Without a doubt, this is a health research centre for the next generation. We all have our eye on the horizon that includes a beautiful, new, state-of-the-art campus, which will impact our entire region. This will be one of the most exciting projects in our city’s </w:t>
      </w:r>
      <w:r w:rsidRPr="006B387D">
        <w:rPr>
          <w:rFonts w:ascii="Arial" w:hAnsi="Arial" w:cs="Arial"/>
          <w:noProof/>
        </w:rPr>
        <w:lastRenderedPageBreak/>
        <w:t>history, and we are thrilled to embark on this project with our community’s support. This new campus will not only redesign the face of our city, but the face of our health-care future.</w:t>
      </w:r>
    </w:p>
    <w:p w14:paraId="354E68DB" w14:textId="77777777" w:rsidR="006B387D" w:rsidRPr="006B387D" w:rsidRDefault="006B387D" w:rsidP="006B387D">
      <w:pPr>
        <w:rPr>
          <w:rFonts w:ascii="Arial" w:hAnsi="Arial" w:cs="Arial"/>
          <w:noProof/>
        </w:rPr>
      </w:pPr>
      <w:r w:rsidRPr="006B387D">
        <w:rPr>
          <w:rFonts w:ascii="Arial" w:hAnsi="Arial" w:cs="Arial"/>
          <w:noProof/>
        </w:rPr>
        <w:t>We wouldn’t be where we are in reimagining health care if it weren’t for the incredible generosity of our community. Philanthropy is making a remarkable difference in the health of our community right now and for future generations.</w:t>
      </w:r>
    </w:p>
    <w:p w14:paraId="1C195E1F" w14:textId="77777777" w:rsidR="006B387D" w:rsidRPr="006B387D" w:rsidRDefault="006B387D" w:rsidP="006B387D">
      <w:pPr>
        <w:rPr>
          <w:rFonts w:ascii="Arial" w:hAnsi="Arial" w:cs="Arial"/>
          <w:noProof/>
        </w:rPr>
      </w:pPr>
      <w:r w:rsidRPr="006B387D">
        <w:rPr>
          <w:rFonts w:ascii="Arial" w:hAnsi="Arial" w:cs="Arial"/>
          <w:noProof/>
        </w:rPr>
        <w:t>Gratefully,</w:t>
      </w:r>
    </w:p>
    <w:p w14:paraId="03F99471" w14:textId="70DECB84" w:rsidR="000351C1" w:rsidRPr="00A15CD5" w:rsidRDefault="00A15CD5" w:rsidP="000351C1">
      <w:pPr>
        <w:rPr>
          <w:rFonts w:ascii="Arial" w:hAnsi="Arial" w:cs="Arial"/>
          <w:noProof/>
        </w:rPr>
      </w:pPr>
      <w:r>
        <w:rPr>
          <w:rFonts w:ascii="Arial" w:hAnsi="Arial" w:cs="Arial"/>
        </w:rPr>
        <w:br/>
      </w:r>
      <w:r w:rsidR="00942B75" w:rsidRPr="000351C1">
        <w:rPr>
          <w:rFonts w:ascii="Arial" w:hAnsi="Arial" w:cs="Arial"/>
          <w:b/>
          <w:bCs/>
        </w:rPr>
        <w:t>Tim Kluke</w:t>
      </w:r>
      <w:r w:rsidR="00942B75" w:rsidRPr="000351C1">
        <w:rPr>
          <w:rFonts w:ascii="Arial" w:hAnsi="Arial" w:cs="Arial"/>
        </w:rPr>
        <w:br/>
        <w:t>President and CEO, The Ottawa Hospital Foundation</w:t>
      </w:r>
      <w:r w:rsidR="000351C1" w:rsidRPr="000351C1">
        <w:br/>
      </w:r>
      <w:r w:rsidR="00454A5A">
        <w:rPr>
          <w:rFonts w:ascii="Arial" w:hAnsi="Arial" w:cs="Arial"/>
          <w:b/>
          <w:bCs/>
        </w:rPr>
        <w:t>Jim Harmon</w:t>
      </w:r>
      <w:r w:rsidR="00206B80" w:rsidRPr="000351C1">
        <w:rPr>
          <w:rFonts w:ascii="Arial" w:hAnsi="Arial" w:cs="Arial"/>
        </w:rPr>
        <w:br/>
        <w:t>Chair, Board of Directors, The Ottawa Hospital Foundation</w:t>
      </w:r>
    </w:p>
    <w:p w14:paraId="262621EE" w14:textId="77777777" w:rsidR="000351C1" w:rsidRDefault="000351C1" w:rsidP="000351C1"/>
    <w:p w14:paraId="674B77D7" w14:textId="77777777" w:rsidR="000351C1" w:rsidRDefault="000351C1" w:rsidP="000351C1"/>
    <w:p w14:paraId="45D41A3E" w14:textId="77777777" w:rsidR="000351C1" w:rsidRDefault="000351C1" w:rsidP="000351C1"/>
    <w:p w14:paraId="0B3B4AD7" w14:textId="77777777" w:rsidR="000351C1" w:rsidRDefault="000351C1" w:rsidP="000351C1"/>
    <w:p w14:paraId="4FD054C2" w14:textId="3DFCF441" w:rsidR="00A15CD5" w:rsidRDefault="00A15CD5" w:rsidP="00DC5942">
      <w:r>
        <w:br/>
      </w:r>
    </w:p>
    <w:p w14:paraId="22C80BB3" w14:textId="77777777" w:rsidR="000E1FFD" w:rsidRDefault="000E1FFD" w:rsidP="00A15CD5">
      <w:pPr>
        <w:pStyle w:val="Heading1"/>
      </w:pPr>
    </w:p>
    <w:p w14:paraId="0E9D28DA" w14:textId="77777777" w:rsidR="000E1FFD" w:rsidRDefault="000E1FFD" w:rsidP="00A15CD5">
      <w:pPr>
        <w:pStyle w:val="Heading1"/>
      </w:pPr>
    </w:p>
    <w:p w14:paraId="0FB89831" w14:textId="77777777" w:rsidR="000E1FFD" w:rsidRDefault="000E1FFD" w:rsidP="00A15CD5">
      <w:pPr>
        <w:pStyle w:val="Heading1"/>
      </w:pPr>
    </w:p>
    <w:p w14:paraId="42598B1A" w14:textId="77777777" w:rsidR="000E1FFD" w:rsidRDefault="000E1FFD">
      <w:pPr>
        <w:rPr>
          <w:rFonts w:asciiTheme="majorHAnsi" w:eastAsiaTheme="majorEastAsia" w:hAnsiTheme="majorHAnsi" w:cstheme="majorBidi"/>
          <w:color w:val="0F4761" w:themeColor="accent1" w:themeShade="BF"/>
          <w:sz w:val="48"/>
          <w:szCs w:val="40"/>
        </w:rPr>
      </w:pPr>
      <w:r>
        <w:br w:type="page"/>
      </w:r>
    </w:p>
    <w:p w14:paraId="7DA5EBD5" w14:textId="0E893F99" w:rsidR="00942B75" w:rsidRPr="00A15CD5" w:rsidRDefault="00BA3483" w:rsidP="00A15CD5">
      <w:pPr>
        <w:pStyle w:val="Heading1"/>
      </w:pPr>
      <w:r w:rsidRPr="000351C1">
        <w:lastRenderedPageBreak/>
        <w:t>Fast facts</w:t>
      </w:r>
    </w:p>
    <w:p w14:paraId="56EB0E7E" w14:textId="771FFDA6" w:rsidR="00BA3483" w:rsidRPr="000351C1" w:rsidRDefault="00292928" w:rsidP="00A76B29">
      <w:pPr>
        <w:pStyle w:val="ListParagraph"/>
        <w:numPr>
          <w:ilvl w:val="0"/>
          <w:numId w:val="4"/>
        </w:numPr>
        <w:rPr>
          <w:rFonts w:ascii="Arial" w:hAnsi="Arial" w:cs="Arial"/>
        </w:rPr>
      </w:pPr>
      <w:r>
        <w:rPr>
          <w:rFonts w:ascii="Arial" w:hAnsi="Arial" w:cs="Arial"/>
        </w:rPr>
        <w:t>4</w:t>
      </w:r>
      <w:r w:rsidR="00FB79FE">
        <w:rPr>
          <w:rFonts w:ascii="Arial" w:hAnsi="Arial" w:cs="Arial"/>
        </w:rPr>
        <w:t>4</w:t>
      </w:r>
      <w:r w:rsidR="00454A5A">
        <w:rPr>
          <w:rFonts w:ascii="Arial" w:hAnsi="Arial" w:cs="Arial"/>
        </w:rPr>
        <w:t>43</w:t>
      </w:r>
      <w:r>
        <w:rPr>
          <w:rFonts w:ascii="Arial" w:hAnsi="Arial" w:cs="Arial"/>
        </w:rPr>
        <w:t xml:space="preserve"> </w:t>
      </w:r>
      <w:r w:rsidR="00BA3483" w:rsidRPr="000351C1">
        <w:rPr>
          <w:rFonts w:ascii="Arial" w:hAnsi="Arial" w:cs="Arial"/>
        </w:rPr>
        <w:t>Nurses</w:t>
      </w:r>
    </w:p>
    <w:p w14:paraId="0583FB47" w14:textId="7534CE93"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5E17BC">
        <w:rPr>
          <w:rFonts w:ascii="Arial" w:hAnsi="Arial" w:cs="Arial"/>
        </w:rPr>
        <w:t>2,</w:t>
      </w:r>
      <w:r w:rsidR="00454A5A">
        <w:rPr>
          <w:rFonts w:ascii="Arial" w:hAnsi="Arial" w:cs="Arial"/>
        </w:rPr>
        <w:t>297</w:t>
      </w:r>
      <w:r w:rsidRPr="000351C1">
        <w:rPr>
          <w:rFonts w:ascii="Arial" w:hAnsi="Arial" w:cs="Arial"/>
        </w:rPr>
        <w:t xml:space="preserve"> Employees</w:t>
      </w:r>
    </w:p>
    <w:p w14:paraId="6D2DB881" w14:textId="6658610D"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54558F">
        <w:rPr>
          <w:rFonts w:ascii="Arial" w:hAnsi="Arial" w:cs="Arial"/>
        </w:rPr>
        <w:t>511</w:t>
      </w:r>
      <w:r w:rsidRPr="000351C1">
        <w:rPr>
          <w:rFonts w:ascii="Arial" w:hAnsi="Arial" w:cs="Arial"/>
        </w:rPr>
        <w:t xml:space="preserve"> Physicians</w:t>
      </w:r>
      <w:r w:rsidR="0054558F">
        <w:rPr>
          <w:rFonts w:ascii="Arial" w:hAnsi="Arial" w:cs="Arial"/>
        </w:rPr>
        <w:t xml:space="preserve"> and Midwives</w:t>
      </w:r>
    </w:p>
    <w:p w14:paraId="2B67C0F3" w14:textId="3141C834" w:rsidR="00BA3483" w:rsidRPr="0054558F" w:rsidRDefault="00BA3483" w:rsidP="0054558F">
      <w:pPr>
        <w:pStyle w:val="ListParagraph"/>
        <w:numPr>
          <w:ilvl w:val="0"/>
          <w:numId w:val="4"/>
        </w:numPr>
        <w:rPr>
          <w:rFonts w:ascii="Arial" w:hAnsi="Arial" w:cs="Arial"/>
        </w:rPr>
      </w:pPr>
      <w:r w:rsidRPr="000351C1">
        <w:rPr>
          <w:rFonts w:ascii="Arial" w:hAnsi="Arial" w:cs="Arial"/>
        </w:rPr>
        <w:t>1</w:t>
      </w:r>
      <w:r w:rsidR="0054558F">
        <w:rPr>
          <w:rFonts w:ascii="Arial" w:hAnsi="Arial" w:cs="Arial"/>
        </w:rPr>
        <w:t xml:space="preserve">205 </w:t>
      </w:r>
      <w:r w:rsidRPr="0054558F">
        <w:rPr>
          <w:rFonts w:ascii="Arial" w:hAnsi="Arial" w:cs="Arial"/>
        </w:rPr>
        <w:t>Resident</w:t>
      </w:r>
      <w:r w:rsidR="0054558F">
        <w:rPr>
          <w:rFonts w:ascii="Arial" w:hAnsi="Arial" w:cs="Arial"/>
        </w:rPr>
        <w:t>s and Fellows</w:t>
      </w:r>
    </w:p>
    <w:p w14:paraId="59D00632" w14:textId="5343628C" w:rsidR="0087451F" w:rsidRPr="000351C1" w:rsidRDefault="0087451F" w:rsidP="0087451F">
      <w:pPr>
        <w:pStyle w:val="ListParagraph"/>
        <w:numPr>
          <w:ilvl w:val="0"/>
          <w:numId w:val="4"/>
        </w:numPr>
        <w:rPr>
          <w:rFonts w:ascii="Arial" w:hAnsi="Arial" w:cs="Arial"/>
        </w:rPr>
      </w:pPr>
      <w:r>
        <w:rPr>
          <w:rFonts w:ascii="Arial" w:hAnsi="Arial" w:cs="Arial"/>
        </w:rPr>
        <w:t>51</w:t>
      </w:r>
      <w:r w:rsidRPr="000351C1">
        <w:rPr>
          <w:rFonts w:ascii="Arial" w:hAnsi="Arial" w:cs="Arial"/>
        </w:rPr>
        <w:t xml:space="preserve"> paramedic student placements</w:t>
      </w:r>
    </w:p>
    <w:p w14:paraId="3C871408" w14:textId="069C3F2B" w:rsidR="0087451F" w:rsidRPr="000351C1" w:rsidRDefault="0087451F" w:rsidP="0087451F">
      <w:pPr>
        <w:pStyle w:val="ListParagraph"/>
        <w:numPr>
          <w:ilvl w:val="0"/>
          <w:numId w:val="4"/>
        </w:numPr>
        <w:rPr>
          <w:rFonts w:ascii="Arial" w:hAnsi="Arial" w:cs="Arial"/>
        </w:rPr>
      </w:pPr>
      <w:r w:rsidRPr="000351C1">
        <w:rPr>
          <w:rFonts w:ascii="Arial" w:hAnsi="Arial" w:cs="Arial"/>
        </w:rPr>
        <w:t>6</w:t>
      </w:r>
      <w:r>
        <w:rPr>
          <w:rFonts w:ascii="Arial" w:hAnsi="Arial" w:cs="Arial"/>
        </w:rPr>
        <w:t>52</w:t>
      </w:r>
      <w:r w:rsidRPr="000351C1">
        <w:rPr>
          <w:rFonts w:ascii="Arial" w:hAnsi="Arial" w:cs="Arial"/>
        </w:rPr>
        <w:t xml:space="preserve"> Medical students</w:t>
      </w:r>
    </w:p>
    <w:p w14:paraId="24AF919A" w14:textId="0EC6FEF9" w:rsidR="00422C19" w:rsidRPr="000351C1" w:rsidRDefault="00422C19" w:rsidP="00422C19">
      <w:pPr>
        <w:pStyle w:val="ListParagraph"/>
        <w:numPr>
          <w:ilvl w:val="0"/>
          <w:numId w:val="4"/>
        </w:numPr>
        <w:rPr>
          <w:rFonts w:ascii="Arial" w:hAnsi="Arial" w:cs="Arial"/>
        </w:rPr>
      </w:pPr>
      <w:r w:rsidRPr="000351C1">
        <w:rPr>
          <w:rFonts w:ascii="Arial" w:hAnsi="Arial" w:cs="Arial"/>
        </w:rPr>
        <w:t>1,</w:t>
      </w:r>
      <w:r>
        <w:rPr>
          <w:rFonts w:ascii="Arial" w:hAnsi="Arial" w:cs="Arial"/>
        </w:rPr>
        <w:t>867</w:t>
      </w:r>
      <w:r w:rsidRPr="000351C1">
        <w:rPr>
          <w:rFonts w:ascii="Arial" w:hAnsi="Arial" w:cs="Arial"/>
        </w:rPr>
        <w:t xml:space="preserve"> Nursing </w:t>
      </w:r>
      <w:r>
        <w:rPr>
          <w:rFonts w:ascii="Arial" w:hAnsi="Arial" w:cs="Arial"/>
        </w:rPr>
        <w:t>placements</w:t>
      </w:r>
    </w:p>
    <w:p w14:paraId="6F6E7D89" w14:textId="2E272DDD" w:rsidR="00422C19" w:rsidRPr="000351C1" w:rsidRDefault="00422C19" w:rsidP="00422C19">
      <w:pPr>
        <w:pStyle w:val="ListParagraph"/>
        <w:numPr>
          <w:ilvl w:val="0"/>
          <w:numId w:val="4"/>
        </w:numPr>
        <w:rPr>
          <w:rFonts w:ascii="Arial" w:hAnsi="Arial" w:cs="Arial"/>
        </w:rPr>
      </w:pPr>
      <w:r>
        <w:rPr>
          <w:rFonts w:ascii="Arial" w:hAnsi="Arial" w:cs="Arial"/>
        </w:rPr>
        <w:t>1,200</w:t>
      </w:r>
      <w:r w:rsidRPr="000351C1">
        <w:rPr>
          <w:rFonts w:ascii="Arial" w:hAnsi="Arial" w:cs="Arial"/>
        </w:rPr>
        <w:t xml:space="preserve"> Volunteers</w:t>
      </w:r>
      <w:r w:rsidR="00D65765">
        <w:rPr>
          <w:rFonts w:ascii="Arial" w:hAnsi="Arial" w:cs="Arial"/>
        </w:rPr>
        <w:br/>
      </w:r>
      <w:r w:rsidR="00E81787">
        <w:rPr>
          <w:rFonts w:ascii="Arial" w:hAnsi="Arial" w:cs="Arial"/>
        </w:rPr>
        <w:br/>
        <w:t>2,257 Total researchers:</w:t>
      </w:r>
    </w:p>
    <w:p w14:paraId="5EAB3851" w14:textId="6887F3B0" w:rsidR="00BA3483" w:rsidRDefault="000053A7" w:rsidP="00A76B29">
      <w:pPr>
        <w:pStyle w:val="ListParagraph"/>
        <w:numPr>
          <w:ilvl w:val="0"/>
          <w:numId w:val="4"/>
        </w:numPr>
        <w:rPr>
          <w:rFonts w:ascii="Arial" w:hAnsi="Arial" w:cs="Arial"/>
        </w:rPr>
      </w:pPr>
      <w:r>
        <w:rPr>
          <w:rFonts w:ascii="Arial" w:hAnsi="Arial" w:cs="Arial"/>
        </w:rPr>
        <w:t>136 Basic and clinical Scientists</w:t>
      </w:r>
    </w:p>
    <w:p w14:paraId="0C80730E" w14:textId="3AF4A0CE" w:rsidR="00D65765" w:rsidRDefault="00D65765" w:rsidP="00A76B29">
      <w:pPr>
        <w:pStyle w:val="ListParagraph"/>
        <w:numPr>
          <w:ilvl w:val="0"/>
          <w:numId w:val="4"/>
        </w:numPr>
        <w:rPr>
          <w:rFonts w:ascii="Arial" w:hAnsi="Arial" w:cs="Arial"/>
        </w:rPr>
      </w:pPr>
      <w:r>
        <w:rPr>
          <w:rFonts w:ascii="Arial" w:hAnsi="Arial" w:cs="Arial"/>
        </w:rPr>
        <w:t>684 Clinical investigators</w:t>
      </w:r>
    </w:p>
    <w:p w14:paraId="39E96946" w14:textId="1062E7F0" w:rsidR="00D65765" w:rsidRDefault="00D65765" w:rsidP="00A76B29">
      <w:pPr>
        <w:pStyle w:val="ListParagraph"/>
        <w:numPr>
          <w:ilvl w:val="0"/>
          <w:numId w:val="4"/>
        </w:numPr>
        <w:rPr>
          <w:rFonts w:ascii="Arial" w:hAnsi="Arial" w:cs="Arial"/>
        </w:rPr>
      </w:pPr>
      <w:r>
        <w:rPr>
          <w:rFonts w:ascii="Arial" w:hAnsi="Arial" w:cs="Arial"/>
        </w:rPr>
        <w:t>464 Trainee researchers</w:t>
      </w:r>
    </w:p>
    <w:p w14:paraId="6F50F74A" w14:textId="2245912C" w:rsidR="00D65765" w:rsidRPr="000351C1" w:rsidRDefault="00D65765" w:rsidP="00A76B29">
      <w:pPr>
        <w:pStyle w:val="ListParagraph"/>
        <w:numPr>
          <w:ilvl w:val="0"/>
          <w:numId w:val="4"/>
        </w:numPr>
        <w:rPr>
          <w:rFonts w:ascii="Arial" w:hAnsi="Arial" w:cs="Arial"/>
        </w:rPr>
      </w:pPr>
      <w:r>
        <w:rPr>
          <w:rFonts w:ascii="Arial" w:hAnsi="Arial" w:cs="Arial"/>
        </w:rPr>
        <w:t>973 Research support staff</w:t>
      </w:r>
    </w:p>
    <w:p w14:paraId="631E8FDC" w14:textId="77777777" w:rsidR="00E81787" w:rsidRPr="00E81787" w:rsidRDefault="00E81787" w:rsidP="00E81787">
      <w:pPr>
        <w:pStyle w:val="ListParagraph"/>
        <w:rPr>
          <w:rFonts w:ascii="Arial" w:hAnsi="Arial" w:cs="Arial"/>
        </w:rPr>
      </w:pPr>
    </w:p>
    <w:p w14:paraId="71050BE0" w14:textId="16B9752B" w:rsidR="00BA3483" w:rsidRPr="00A15CD5" w:rsidRDefault="005C7F2A" w:rsidP="00A15CD5">
      <w:pPr>
        <w:pStyle w:val="ListParagraph"/>
        <w:numPr>
          <w:ilvl w:val="0"/>
          <w:numId w:val="10"/>
        </w:numPr>
        <w:rPr>
          <w:rFonts w:ascii="Arial" w:hAnsi="Arial" w:cs="Arial"/>
        </w:rPr>
      </w:pPr>
      <w:r>
        <w:rPr>
          <w:rFonts w:ascii="Arial" w:hAnsi="Arial" w:cs="Arial"/>
        </w:rPr>
        <w:t>Third hospital</w:t>
      </w:r>
      <w:r w:rsidR="00BA3483" w:rsidRPr="00A15CD5">
        <w:rPr>
          <w:rFonts w:ascii="Arial" w:hAnsi="Arial" w:cs="Arial"/>
        </w:rPr>
        <w:t xml:space="preserve"> in Canada for peer-reviewed funding from the Canadian Institutes of Health Research</w:t>
      </w:r>
    </w:p>
    <w:p w14:paraId="69A57813" w14:textId="2320EA28" w:rsidR="00BA3483" w:rsidRPr="00A15CD5" w:rsidRDefault="00BA3483" w:rsidP="00A15CD5">
      <w:pPr>
        <w:pStyle w:val="ListParagraph"/>
        <w:numPr>
          <w:ilvl w:val="0"/>
          <w:numId w:val="10"/>
        </w:numPr>
        <w:rPr>
          <w:rFonts w:ascii="Arial" w:hAnsi="Arial" w:cs="Arial"/>
        </w:rPr>
      </w:pPr>
      <w:r w:rsidRPr="00A15CD5">
        <w:rPr>
          <w:rFonts w:ascii="Arial" w:hAnsi="Arial" w:cs="Arial"/>
        </w:rPr>
        <w:t>F</w:t>
      </w:r>
      <w:r w:rsidR="00001B1B">
        <w:rPr>
          <w:rFonts w:ascii="Arial" w:hAnsi="Arial" w:cs="Arial"/>
        </w:rPr>
        <w:t>ifth</w:t>
      </w:r>
      <w:r w:rsidRPr="00A15CD5">
        <w:rPr>
          <w:rFonts w:ascii="Arial" w:hAnsi="Arial" w:cs="Arial"/>
        </w:rPr>
        <w:t xml:space="preserve"> in Canada for overall research funding</w:t>
      </w:r>
    </w:p>
    <w:p w14:paraId="0BFC59BB" w14:textId="457CC827" w:rsidR="00BA3483" w:rsidRPr="00A15CD5" w:rsidRDefault="00BA3483" w:rsidP="00A15CD5">
      <w:pPr>
        <w:pStyle w:val="ListParagraph"/>
        <w:numPr>
          <w:ilvl w:val="0"/>
          <w:numId w:val="10"/>
        </w:numPr>
        <w:rPr>
          <w:rFonts w:ascii="Arial" w:hAnsi="Arial" w:cs="Arial"/>
        </w:rPr>
      </w:pPr>
      <w:r w:rsidRPr="00A15CD5">
        <w:rPr>
          <w:rFonts w:ascii="Arial" w:hAnsi="Arial" w:cs="Arial"/>
        </w:rPr>
        <w:t>$</w:t>
      </w:r>
      <w:r w:rsidR="008B140F">
        <w:rPr>
          <w:rFonts w:ascii="Arial" w:hAnsi="Arial" w:cs="Arial"/>
        </w:rPr>
        <w:t>1.</w:t>
      </w:r>
      <w:r w:rsidR="00200E26">
        <w:rPr>
          <w:rFonts w:ascii="Arial" w:hAnsi="Arial" w:cs="Arial"/>
        </w:rPr>
        <w:t>6</w:t>
      </w:r>
      <w:r w:rsidRPr="00A15CD5">
        <w:rPr>
          <w:rFonts w:ascii="Arial" w:hAnsi="Arial" w:cs="Arial"/>
        </w:rPr>
        <w:t>B Impact on Ottawa economy due to our research (since 2001)</w:t>
      </w:r>
    </w:p>
    <w:p w14:paraId="1BE4168D" w14:textId="40EB917D" w:rsidR="00A15CD5" w:rsidRDefault="00735DA1" w:rsidP="00A15CD5">
      <w:pPr>
        <w:pStyle w:val="ListParagraph"/>
        <w:numPr>
          <w:ilvl w:val="0"/>
          <w:numId w:val="10"/>
        </w:numPr>
        <w:rPr>
          <w:rFonts w:ascii="Arial" w:hAnsi="Arial" w:cs="Arial"/>
        </w:rPr>
      </w:pPr>
      <w:r>
        <w:rPr>
          <w:rFonts w:ascii="Arial" w:hAnsi="Arial" w:cs="Arial"/>
        </w:rPr>
        <w:t>1</w:t>
      </w:r>
      <w:r w:rsidR="00CB37E3">
        <w:rPr>
          <w:rFonts w:ascii="Arial" w:hAnsi="Arial" w:cs="Arial"/>
        </w:rPr>
        <w:t>,</w:t>
      </w:r>
      <w:r w:rsidR="00200E26">
        <w:rPr>
          <w:rFonts w:ascii="Arial" w:hAnsi="Arial" w:cs="Arial"/>
        </w:rPr>
        <w:t>740</w:t>
      </w:r>
      <w:r w:rsidR="00CA2F85">
        <w:rPr>
          <w:rFonts w:ascii="Arial" w:hAnsi="Arial" w:cs="Arial"/>
        </w:rPr>
        <w:t xml:space="preserve"> </w:t>
      </w:r>
      <w:r w:rsidR="00BA3483" w:rsidRPr="00A15CD5">
        <w:rPr>
          <w:rFonts w:ascii="Arial" w:hAnsi="Arial" w:cs="Arial"/>
        </w:rPr>
        <w:t>Scientific papers published in 20</w:t>
      </w:r>
      <w:r w:rsidR="008B140F">
        <w:rPr>
          <w:rFonts w:ascii="Arial" w:hAnsi="Arial" w:cs="Arial"/>
        </w:rPr>
        <w:t>1</w:t>
      </w:r>
      <w:r w:rsidR="00200E26">
        <w:rPr>
          <w:rFonts w:ascii="Arial" w:hAnsi="Arial" w:cs="Arial"/>
        </w:rPr>
        <w:t>7</w:t>
      </w:r>
    </w:p>
    <w:p w14:paraId="6CD401EE" w14:textId="373C6819" w:rsidR="00A15CD5" w:rsidRDefault="00957A9C" w:rsidP="00A15CD5">
      <w:pPr>
        <w:pStyle w:val="ListParagraph"/>
        <w:numPr>
          <w:ilvl w:val="0"/>
          <w:numId w:val="10"/>
        </w:numPr>
        <w:rPr>
          <w:rFonts w:ascii="Arial" w:hAnsi="Arial" w:cs="Arial"/>
        </w:rPr>
      </w:pPr>
      <w:r>
        <w:rPr>
          <w:rFonts w:ascii="Arial" w:hAnsi="Arial" w:cs="Arial"/>
        </w:rPr>
        <w:t>5</w:t>
      </w:r>
      <w:r w:rsidR="00CB37E3">
        <w:rPr>
          <w:rFonts w:ascii="Arial" w:hAnsi="Arial" w:cs="Arial"/>
        </w:rPr>
        <w:t>7</w:t>
      </w:r>
      <w:r w:rsidR="00BA3483" w:rsidRPr="00A15CD5">
        <w:rPr>
          <w:rFonts w:ascii="Arial" w:hAnsi="Arial" w:cs="Arial"/>
        </w:rPr>
        <w:t xml:space="preserve"> Active patent families</w:t>
      </w:r>
    </w:p>
    <w:p w14:paraId="4BA5E6B3" w14:textId="6DEC72F7" w:rsidR="00A15CD5" w:rsidRDefault="008B140F" w:rsidP="00A15CD5">
      <w:pPr>
        <w:pStyle w:val="ListParagraph"/>
        <w:numPr>
          <w:ilvl w:val="0"/>
          <w:numId w:val="10"/>
        </w:numPr>
        <w:rPr>
          <w:rFonts w:ascii="Arial" w:hAnsi="Arial" w:cs="Arial"/>
        </w:rPr>
      </w:pPr>
      <w:r>
        <w:rPr>
          <w:rFonts w:ascii="Arial" w:hAnsi="Arial" w:cs="Arial"/>
        </w:rPr>
        <w:t>9</w:t>
      </w:r>
      <w:r w:rsidR="00BA3483" w:rsidRPr="00A15CD5">
        <w:rPr>
          <w:rFonts w:ascii="Arial" w:hAnsi="Arial" w:cs="Arial"/>
        </w:rPr>
        <w:t xml:space="preserve"> Spin-off companies</w:t>
      </w:r>
    </w:p>
    <w:p w14:paraId="2DFB3CAD" w14:textId="1E8AD613" w:rsidR="00A15CD5" w:rsidRDefault="00BA3483" w:rsidP="00A15CD5">
      <w:pPr>
        <w:pStyle w:val="ListParagraph"/>
        <w:numPr>
          <w:ilvl w:val="0"/>
          <w:numId w:val="10"/>
        </w:numPr>
        <w:rPr>
          <w:rFonts w:ascii="Arial" w:hAnsi="Arial" w:cs="Arial"/>
        </w:rPr>
      </w:pPr>
      <w:r w:rsidRPr="00A15CD5">
        <w:rPr>
          <w:rFonts w:ascii="Arial" w:hAnsi="Arial" w:cs="Arial"/>
        </w:rPr>
        <w:t>1,</w:t>
      </w:r>
      <w:r w:rsidR="006B679F">
        <w:rPr>
          <w:rFonts w:ascii="Arial" w:hAnsi="Arial" w:cs="Arial"/>
        </w:rPr>
        <w:t>2</w:t>
      </w:r>
      <w:r w:rsidR="00CB37E3">
        <w:rPr>
          <w:rFonts w:ascii="Arial" w:hAnsi="Arial" w:cs="Arial"/>
        </w:rPr>
        <w:t>32</w:t>
      </w:r>
      <w:r w:rsidRPr="00A15CD5">
        <w:rPr>
          <w:rFonts w:ascii="Arial" w:hAnsi="Arial" w:cs="Arial"/>
        </w:rPr>
        <w:t xml:space="preserve"> Beds</w:t>
      </w:r>
    </w:p>
    <w:p w14:paraId="1D288DC8" w14:textId="77777777" w:rsidR="00A15CD5" w:rsidRDefault="00A76B29" w:rsidP="00A15CD5">
      <w:pPr>
        <w:pStyle w:val="ListParagraph"/>
        <w:numPr>
          <w:ilvl w:val="0"/>
          <w:numId w:val="10"/>
        </w:numPr>
        <w:rPr>
          <w:rFonts w:ascii="Arial" w:hAnsi="Arial" w:cs="Arial"/>
        </w:rPr>
      </w:pPr>
      <w:r w:rsidRPr="00A15CD5">
        <w:rPr>
          <w:rFonts w:ascii="Arial" w:hAnsi="Arial" w:cs="Arial"/>
        </w:rPr>
        <w:t>18</w:t>
      </w:r>
      <w:r w:rsidR="00BA3483" w:rsidRPr="00A15CD5">
        <w:rPr>
          <w:rFonts w:ascii="Arial" w:hAnsi="Arial" w:cs="Arial"/>
        </w:rPr>
        <w:t xml:space="preserve"> State-of-the-art core research facilities</w:t>
      </w:r>
    </w:p>
    <w:p w14:paraId="37A31ED7" w14:textId="4B970936" w:rsidR="00A15CD5" w:rsidRDefault="006B679F" w:rsidP="00A15CD5">
      <w:pPr>
        <w:pStyle w:val="ListParagraph"/>
        <w:numPr>
          <w:ilvl w:val="0"/>
          <w:numId w:val="10"/>
        </w:numPr>
        <w:rPr>
          <w:rFonts w:ascii="Arial" w:hAnsi="Arial" w:cs="Arial"/>
        </w:rPr>
      </w:pPr>
      <w:r>
        <w:rPr>
          <w:rFonts w:ascii="Arial" w:hAnsi="Arial" w:cs="Arial"/>
        </w:rPr>
        <w:t>62</w:t>
      </w:r>
      <w:r w:rsidR="00BA3483" w:rsidRPr="00A15CD5">
        <w:rPr>
          <w:rFonts w:ascii="Arial" w:hAnsi="Arial" w:cs="Arial"/>
        </w:rPr>
        <w:t xml:space="preserve"> Scientific research labs</w:t>
      </w:r>
    </w:p>
    <w:p w14:paraId="2892E0FC" w14:textId="58F5A330" w:rsidR="00BA3483" w:rsidRPr="00A15CD5" w:rsidRDefault="00315DFE" w:rsidP="00A15CD5">
      <w:pPr>
        <w:pStyle w:val="ListParagraph"/>
        <w:numPr>
          <w:ilvl w:val="0"/>
          <w:numId w:val="10"/>
        </w:numPr>
        <w:rPr>
          <w:rFonts w:ascii="Arial" w:hAnsi="Arial" w:cs="Arial"/>
        </w:rPr>
      </w:pPr>
      <w:r>
        <w:rPr>
          <w:rFonts w:ascii="Arial" w:hAnsi="Arial" w:cs="Arial"/>
        </w:rPr>
        <w:t>8</w:t>
      </w:r>
      <w:r w:rsidR="00BA3483" w:rsidRPr="00A15CD5">
        <w:rPr>
          <w:rFonts w:ascii="Arial" w:hAnsi="Arial" w:cs="Arial"/>
        </w:rPr>
        <w:t xml:space="preserve"> National research networks</w:t>
      </w:r>
    </w:p>
    <w:p w14:paraId="25CDE064" w14:textId="65E64F02" w:rsidR="00BA3483" w:rsidRDefault="00315DFE" w:rsidP="00A15CD5">
      <w:pPr>
        <w:pStyle w:val="ListParagraph"/>
        <w:numPr>
          <w:ilvl w:val="0"/>
          <w:numId w:val="10"/>
        </w:numPr>
        <w:rPr>
          <w:rFonts w:ascii="Arial" w:hAnsi="Arial" w:cs="Arial"/>
        </w:rPr>
      </w:pPr>
      <w:r>
        <w:rPr>
          <w:rFonts w:ascii="Arial" w:hAnsi="Arial" w:cs="Arial"/>
        </w:rPr>
        <w:t>825</w:t>
      </w:r>
      <w:r w:rsidR="00BA3483" w:rsidRPr="00A15CD5">
        <w:rPr>
          <w:rFonts w:ascii="Arial" w:hAnsi="Arial" w:cs="Arial"/>
        </w:rPr>
        <w:t xml:space="preserve"> Active clinical trials</w:t>
      </w:r>
    </w:p>
    <w:p w14:paraId="606EE1EB" w14:textId="4E747961" w:rsidR="00315DFE" w:rsidRDefault="00315DFE" w:rsidP="00A15CD5">
      <w:pPr>
        <w:pStyle w:val="ListParagraph"/>
        <w:numPr>
          <w:ilvl w:val="0"/>
          <w:numId w:val="10"/>
        </w:numPr>
        <w:rPr>
          <w:rFonts w:ascii="Arial" w:hAnsi="Arial" w:cs="Arial"/>
        </w:rPr>
      </w:pPr>
      <w:r>
        <w:rPr>
          <w:rFonts w:ascii="Arial" w:hAnsi="Arial" w:cs="Arial"/>
        </w:rPr>
        <w:t>14 Made-in-Ottawa Clinical decision rules</w:t>
      </w:r>
    </w:p>
    <w:p w14:paraId="600D82EB" w14:textId="4A5D5AF9" w:rsidR="00BA3483" w:rsidRPr="006E515F" w:rsidRDefault="002900C5" w:rsidP="006E515F">
      <w:pPr>
        <w:pStyle w:val="ListParagraph"/>
        <w:numPr>
          <w:ilvl w:val="0"/>
          <w:numId w:val="10"/>
        </w:numPr>
        <w:rPr>
          <w:rFonts w:ascii="Arial" w:hAnsi="Arial" w:cs="Arial"/>
        </w:rPr>
      </w:pPr>
      <w:r>
        <w:rPr>
          <w:rFonts w:ascii="Arial" w:hAnsi="Arial" w:cs="Arial"/>
        </w:rPr>
        <w:t>7.9 Average length of stay (days</w:t>
      </w:r>
    </w:p>
    <w:p w14:paraId="01644811" w14:textId="1DA49DEF" w:rsidR="00BA3483" w:rsidRPr="00A15CD5" w:rsidRDefault="0002372C" w:rsidP="00A15CD5">
      <w:pPr>
        <w:pStyle w:val="ListParagraph"/>
        <w:numPr>
          <w:ilvl w:val="0"/>
          <w:numId w:val="10"/>
        </w:numPr>
        <w:rPr>
          <w:rFonts w:ascii="Arial" w:hAnsi="Arial" w:cs="Arial"/>
        </w:rPr>
      </w:pPr>
      <w:r>
        <w:rPr>
          <w:rFonts w:ascii="Arial" w:hAnsi="Arial" w:cs="Arial"/>
        </w:rPr>
        <w:t>60,</w:t>
      </w:r>
      <w:r w:rsidR="006E515F">
        <w:rPr>
          <w:rFonts w:ascii="Arial" w:hAnsi="Arial" w:cs="Arial"/>
        </w:rPr>
        <w:t>45</w:t>
      </w:r>
      <w:r>
        <w:rPr>
          <w:rFonts w:ascii="Arial" w:hAnsi="Arial" w:cs="Arial"/>
        </w:rPr>
        <w:t>7</w:t>
      </w:r>
      <w:r w:rsidR="00BA3483" w:rsidRPr="00A15CD5">
        <w:rPr>
          <w:rFonts w:ascii="Arial" w:hAnsi="Arial" w:cs="Arial"/>
        </w:rPr>
        <w:t xml:space="preserve"> Patient admissions</w:t>
      </w:r>
    </w:p>
    <w:p w14:paraId="7F2D6DB8" w14:textId="288A8103" w:rsidR="00BA3483" w:rsidRPr="00A15CD5" w:rsidRDefault="00BA3483" w:rsidP="00A15CD5">
      <w:pPr>
        <w:pStyle w:val="ListParagraph"/>
        <w:numPr>
          <w:ilvl w:val="0"/>
          <w:numId w:val="10"/>
        </w:numPr>
        <w:rPr>
          <w:rFonts w:ascii="Arial" w:hAnsi="Arial" w:cs="Arial"/>
        </w:rPr>
      </w:pPr>
      <w:r w:rsidRPr="00A15CD5">
        <w:rPr>
          <w:rFonts w:ascii="Arial" w:hAnsi="Arial" w:cs="Arial"/>
        </w:rPr>
        <w:t>1</w:t>
      </w:r>
      <w:r w:rsidR="00367B25">
        <w:rPr>
          <w:rFonts w:ascii="Arial" w:hAnsi="Arial" w:cs="Arial"/>
        </w:rPr>
        <w:t>7</w:t>
      </w:r>
      <w:r w:rsidR="006E515F">
        <w:rPr>
          <w:rFonts w:ascii="Arial" w:hAnsi="Arial" w:cs="Arial"/>
        </w:rPr>
        <w:t>9</w:t>
      </w:r>
      <w:r w:rsidR="00367B25">
        <w:rPr>
          <w:rFonts w:ascii="Arial" w:hAnsi="Arial" w:cs="Arial"/>
        </w:rPr>
        <w:t>,</w:t>
      </w:r>
      <w:r w:rsidR="006E515F">
        <w:rPr>
          <w:rFonts w:ascii="Arial" w:hAnsi="Arial" w:cs="Arial"/>
        </w:rPr>
        <w:t>651</w:t>
      </w:r>
      <w:r w:rsidRPr="00A15CD5">
        <w:rPr>
          <w:rFonts w:ascii="Arial" w:hAnsi="Arial" w:cs="Arial"/>
        </w:rPr>
        <w:t xml:space="preserve"> Emergency visits</w:t>
      </w:r>
    </w:p>
    <w:p w14:paraId="0CD718DE" w14:textId="69BA94E5" w:rsidR="00BA3483" w:rsidRPr="00A15CD5" w:rsidRDefault="00367B25" w:rsidP="00A15CD5">
      <w:pPr>
        <w:pStyle w:val="ListParagraph"/>
        <w:numPr>
          <w:ilvl w:val="0"/>
          <w:numId w:val="10"/>
        </w:numPr>
        <w:rPr>
          <w:rFonts w:ascii="Arial" w:hAnsi="Arial" w:cs="Arial"/>
        </w:rPr>
      </w:pPr>
      <w:r>
        <w:rPr>
          <w:rFonts w:ascii="Arial" w:hAnsi="Arial" w:cs="Arial"/>
        </w:rPr>
        <w:t>1,1</w:t>
      </w:r>
      <w:r w:rsidR="006E515F">
        <w:rPr>
          <w:rFonts w:ascii="Arial" w:hAnsi="Arial" w:cs="Arial"/>
        </w:rPr>
        <w:t>96</w:t>
      </w:r>
      <w:r w:rsidR="008F50CE">
        <w:rPr>
          <w:rFonts w:ascii="Arial" w:hAnsi="Arial" w:cs="Arial"/>
        </w:rPr>
        <w:t>,</w:t>
      </w:r>
      <w:r w:rsidR="006E515F">
        <w:rPr>
          <w:rFonts w:ascii="Arial" w:hAnsi="Arial" w:cs="Arial"/>
        </w:rPr>
        <w:t>05</w:t>
      </w:r>
      <w:r w:rsidR="008F50CE">
        <w:rPr>
          <w:rFonts w:ascii="Arial" w:hAnsi="Arial" w:cs="Arial"/>
        </w:rPr>
        <w:t>0</w:t>
      </w:r>
      <w:r w:rsidR="00BA3483" w:rsidRPr="00A15CD5">
        <w:rPr>
          <w:rFonts w:ascii="Arial" w:hAnsi="Arial" w:cs="Arial"/>
        </w:rPr>
        <w:t xml:space="preserve"> Ambulatory care visits</w:t>
      </w:r>
    </w:p>
    <w:p w14:paraId="32E1C6C1" w14:textId="318194DD" w:rsidR="00BA3483" w:rsidRPr="00A15CD5" w:rsidRDefault="008F50CE" w:rsidP="00A15CD5">
      <w:pPr>
        <w:pStyle w:val="ListParagraph"/>
        <w:numPr>
          <w:ilvl w:val="0"/>
          <w:numId w:val="10"/>
        </w:numPr>
        <w:rPr>
          <w:rFonts w:ascii="Arial" w:hAnsi="Arial" w:cs="Arial"/>
        </w:rPr>
      </w:pPr>
      <w:r>
        <w:rPr>
          <w:rFonts w:ascii="Arial" w:hAnsi="Arial" w:cs="Arial"/>
        </w:rPr>
        <w:t>5</w:t>
      </w:r>
      <w:r w:rsidR="002B4B61">
        <w:rPr>
          <w:rFonts w:ascii="Arial" w:hAnsi="Arial" w:cs="Arial"/>
        </w:rPr>
        <w:t>1</w:t>
      </w:r>
      <w:r>
        <w:rPr>
          <w:rFonts w:ascii="Arial" w:hAnsi="Arial" w:cs="Arial"/>
        </w:rPr>
        <w:t>,</w:t>
      </w:r>
      <w:r w:rsidR="002B4B61">
        <w:rPr>
          <w:rFonts w:ascii="Arial" w:hAnsi="Arial" w:cs="Arial"/>
        </w:rPr>
        <w:t>799</w:t>
      </w:r>
      <w:r w:rsidR="00BA3483" w:rsidRPr="00A15CD5">
        <w:rPr>
          <w:rFonts w:ascii="Arial" w:hAnsi="Arial" w:cs="Arial"/>
        </w:rPr>
        <w:t xml:space="preserve"> Surgical cases</w:t>
      </w:r>
    </w:p>
    <w:p w14:paraId="382C9F79" w14:textId="3F4864E6" w:rsidR="00C55032" w:rsidRPr="002B4B61" w:rsidRDefault="008F50CE" w:rsidP="002B4B61">
      <w:pPr>
        <w:pStyle w:val="ListParagraph"/>
        <w:numPr>
          <w:ilvl w:val="0"/>
          <w:numId w:val="10"/>
        </w:numPr>
        <w:rPr>
          <w:rFonts w:ascii="Arial" w:hAnsi="Arial" w:cs="Arial"/>
        </w:rPr>
      </w:pPr>
      <w:r>
        <w:rPr>
          <w:rFonts w:ascii="Arial" w:hAnsi="Arial" w:cs="Arial"/>
        </w:rPr>
        <w:t>6,</w:t>
      </w:r>
      <w:r w:rsidR="002B4B61">
        <w:rPr>
          <w:rFonts w:ascii="Arial" w:hAnsi="Arial" w:cs="Arial"/>
        </w:rPr>
        <w:t>166</w:t>
      </w:r>
      <w:r w:rsidR="00BA3483" w:rsidRPr="00A15CD5">
        <w:rPr>
          <w:rFonts w:ascii="Arial" w:hAnsi="Arial" w:cs="Arial"/>
        </w:rPr>
        <w:t xml:space="preserve"> Babies delivered</w:t>
      </w:r>
    </w:p>
    <w:p w14:paraId="6AB2CC8E" w14:textId="46F17544" w:rsidR="009220D0" w:rsidRPr="009220D0" w:rsidRDefault="009220D0" w:rsidP="008B6ABD">
      <w:pPr>
        <w:pStyle w:val="Heading1"/>
      </w:pPr>
      <w:r w:rsidRPr="009220D0">
        <w:lastRenderedPageBreak/>
        <w:t>Corporate performance scorecard</w:t>
      </w:r>
    </w:p>
    <w:p w14:paraId="1178ADD4" w14:textId="77777777" w:rsidR="0093255B" w:rsidRDefault="009220D0" w:rsidP="0093255B">
      <w:r w:rsidRPr="009220D0">
        <w:t>At The Ottawa Hospital, excellence in patient care is our priority.</w:t>
      </w:r>
      <w:r w:rsidR="00474EF3">
        <w:t xml:space="preserve"> </w:t>
      </w:r>
      <w:r w:rsidR="0093255B" w:rsidRPr="0093255B">
        <w:t>By improving wait times, patients’ rating of experience and other key measures of a high-performing hospital, our goal is to rank among the top 10 percent of North American hospitals in providing safe, high-quality care to our patients.</w:t>
      </w:r>
    </w:p>
    <w:p w14:paraId="34B82C5A" w14:textId="6EC5DCC0" w:rsidR="00845B77" w:rsidRDefault="00845B77" w:rsidP="00FE294C">
      <w:pPr>
        <w:pStyle w:val="ListParagraph"/>
        <w:numPr>
          <w:ilvl w:val="0"/>
          <w:numId w:val="29"/>
        </w:numPr>
      </w:pPr>
      <w:r w:rsidRPr="00FE294C">
        <w:rPr>
          <w:b/>
          <w:bCs/>
        </w:rPr>
        <w:t xml:space="preserve">Strategic </w:t>
      </w:r>
      <w:r w:rsidR="001E479D" w:rsidRPr="00FE294C">
        <w:rPr>
          <w:b/>
          <w:bCs/>
        </w:rPr>
        <w:t>Direction</w:t>
      </w:r>
      <w:r w:rsidRPr="00FE294C">
        <w:rPr>
          <w:b/>
          <w:bCs/>
        </w:rPr>
        <w:t>:</w:t>
      </w:r>
      <w:r w:rsidRPr="00C866F0">
        <w:t xml:space="preserve"> </w:t>
      </w:r>
      <w:r w:rsidR="001E479D">
        <w:t>Finance</w:t>
      </w:r>
      <w:r w:rsidRPr="00C866F0">
        <w:br/>
      </w:r>
      <w:r w:rsidRPr="00FE294C">
        <w:rPr>
          <w:b/>
          <w:bCs/>
        </w:rPr>
        <w:t>Indicator:</w:t>
      </w:r>
      <w:r w:rsidRPr="00C866F0">
        <w:t xml:space="preserve"> </w:t>
      </w:r>
      <w:r w:rsidR="00B349CB">
        <w:br/>
        <w:t xml:space="preserve">- </w:t>
      </w:r>
      <w:r w:rsidR="00B349CB" w:rsidRPr="00B349CB">
        <w:t>Cost per weighted case – acute and day surgery patients</w:t>
      </w:r>
      <w:r w:rsidR="00D012AC">
        <w:t xml:space="preserve">: average cost of standard hospital </w:t>
      </w:r>
      <w:proofErr w:type="gramStart"/>
      <w:r w:rsidR="00D012AC">
        <w:t>stay</w:t>
      </w:r>
      <w:proofErr w:type="gramEnd"/>
      <w:r w:rsidR="00D012AC">
        <w:t xml:space="preserve"> for an ac</w:t>
      </w:r>
      <w:r w:rsidR="001B3C12">
        <w:t>ute or day-surgery patient</w:t>
      </w:r>
      <w:r w:rsidR="00B349CB">
        <w:br/>
      </w:r>
      <w:r w:rsidR="00B349CB" w:rsidRPr="00FE294C">
        <w:rPr>
          <w:b/>
          <w:bCs/>
        </w:rPr>
        <w:t>20</w:t>
      </w:r>
      <w:r w:rsidR="001B3C12" w:rsidRPr="00FE294C">
        <w:rPr>
          <w:b/>
          <w:bCs/>
        </w:rPr>
        <w:t>1</w:t>
      </w:r>
      <w:r w:rsidR="0093255B" w:rsidRPr="00FE294C">
        <w:rPr>
          <w:b/>
          <w:bCs/>
        </w:rPr>
        <w:t>8</w:t>
      </w:r>
      <w:r w:rsidR="00B349CB" w:rsidRPr="00FE294C">
        <w:rPr>
          <w:b/>
          <w:bCs/>
        </w:rPr>
        <w:t>-20</w:t>
      </w:r>
      <w:r w:rsidR="0093255B" w:rsidRPr="00FE294C">
        <w:rPr>
          <w:b/>
          <w:bCs/>
        </w:rPr>
        <w:t>19</w:t>
      </w:r>
      <w:r w:rsidR="00B349CB" w:rsidRPr="00FE294C">
        <w:rPr>
          <w:b/>
          <w:bCs/>
        </w:rPr>
        <w:t xml:space="preserve"> Result:</w:t>
      </w:r>
      <w:r w:rsidR="00B349CB" w:rsidRPr="00C866F0">
        <w:t xml:space="preserve"> </w:t>
      </w:r>
      <w:r w:rsidR="00B349CB">
        <w:t>$</w:t>
      </w:r>
      <w:r w:rsidR="001B3C12">
        <w:t>6,3</w:t>
      </w:r>
      <w:r w:rsidR="0093255B">
        <w:t>88</w:t>
      </w:r>
      <w:r w:rsidR="00D20E50">
        <w:br/>
      </w:r>
      <w:r w:rsidR="00B349CB">
        <w:br/>
        <w:t>- Total Margin</w:t>
      </w:r>
      <w:r w:rsidR="004A670F">
        <w:t xml:space="preserve">: </w:t>
      </w:r>
      <w:r w:rsidR="004A670F" w:rsidRPr="004A670F">
        <w:t>Percent by which consolidated revenues vary from consolidated expenses. Negative variance indicates revenues are lower than expenses; positive variance indicates revenues are higher than expenses.</w:t>
      </w:r>
      <w:r w:rsidR="004A670F">
        <w:br/>
      </w:r>
      <w:r w:rsidR="00C125D1" w:rsidRPr="00FE294C">
        <w:rPr>
          <w:b/>
          <w:bCs/>
        </w:rPr>
        <w:t>201</w:t>
      </w:r>
      <w:r w:rsidR="004F2196" w:rsidRPr="00FE294C">
        <w:rPr>
          <w:b/>
          <w:bCs/>
        </w:rPr>
        <w:t>8</w:t>
      </w:r>
      <w:r w:rsidR="00C125D1" w:rsidRPr="00FE294C">
        <w:rPr>
          <w:b/>
          <w:bCs/>
        </w:rPr>
        <w:t>-20</w:t>
      </w:r>
      <w:r w:rsidR="004F2196" w:rsidRPr="00FE294C">
        <w:rPr>
          <w:b/>
          <w:bCs/>
        </w:rPr>
        <w:t>19</w:t>
      </w:r>
      <w:r w:rsidR="00C125D1" w:rsidRPr="00FE294C">
        <w:rPr>
          <w:b/>
          <w:bCs/>
        </w:rPr>
        <w:t xml:space="preserve"> </w:t>
      </w:r>
      <w:r w:rsidR="004A670F" w:rsidRPr="00FE294C">
        <w:rPr>
          <w:b/>
          <w:bCs/>
        </w:rPr>
        <w:t>Result:</w:t>
      </w:r>
      <w:r w:rsidR="004A670F" w:rsidRPr="00C866F0">
        <w:t xml:space="preserve"> </w:t>
      </w:r>
      <w:r w:rsidR="004F2196">
        <w:t>0.06</w:t>
      </w:r>
      <w:r w:rsidR="004A670F">
        <w:t>%</w:t>
      </w:r>
      <w:r w:rsidR="004F2196">
        <w:t>*</w:t>
      </w:r>
      <w:r w:rsidR="00D20E50">
        <w:br/>
      </w:r>
      <w:r w:rsidR="00AD79E3">
        <w:br/>
        <w:t xml:space="preserve">- </w:t>
      </w:r>
      <w:r w:rsidR="00AD79E3" w:rsidRPr="00AD79E3">
        <w:t>Progress on Keystone Projects</w:t>
      </w:r>
      <w:r w:rsidR="00AD79E3">
        <w:t xml:space="preserve">: </w:t>
      </w:r>
      <w:r w:rsidR="00AD79E3" w:rsidRPr="00AD79E3">
        <w:t>A composite project milestone score with 80% of the score weighted towards the new Health Information System implementation, and 20% towards planning for the new campus of The Ottawa Hospital. Each project is rated on a 3-point scale where 1 means major concerns on budget or milestones and 3 means project is on budget and on time</w:t>
      </w:r>
      <w:r w:rsidR="00EE07EB">
        <w:t>.</w:t>
      </w:r>
      <w:r w:rsidR="00EE07EB">
        <w:br/>
      </w:r>
      <w:r w:rsidR="00EE07EB" w:rsidRPr="00EE07EB">
        <w:rPr>
          <w:b/>
          <w:bCs/>
        </w:rPr>
        <w:t xml:space="preserve">2018-2019 </w:t>
      </w:r>
      <w:r w:rsidR="004F4760" w:rsidRPr="00EE07EB">
        <w:rPr>
          <w:b/>
          <w:bCs/>
        </w:rPr>
        <w:t>Result</w:t>
      </w:r>
      <w:r w:rsidR="004F4760" w:rsidRPr="00FE294C">
        <w:rPr>
          <w:b/>
          <w:bCs/>
        </w:rPr>
        <w:t>:</w:t>
      </w:r>
      <w:r w:rsidR="004F4760">
        <w:t xml:space="preserve"> </w:t>
      </w:r>
      <w:r w:rsidR="00FE294C">
        <w:t>3*</w:t>
      </w:r>
      <w:r w:rsidR="004A670F">
        <w:br/>
      </w:r>
    </w:p>
    <w:p w14:paraId="27DF42D9" w14:textId="4FD5634D" w:rsidR="00BA7AC2" w:rsidRPr="00BA7AC2" w:rsidRDefault="00337BA8" w:rsidP="00BA7AC2">
      <w:pPr>
        <w:pStyle w:val="ListParagraph"/>
        <w:numPr>
          <w:ilvl w:val="0"/>
          <w:numId w:val="12"/>
        </w:numPr>
      </w:pPr>
      <w:r w:rsidRPr="00B27EF9">
        <w:rPr>
          <w:b/>
          <w:bCs/>
        </w:rPr>
        <w:t xml:space="preserve">Strategic </w:t>
      </w:r>
      <w:r w:rsidR="004B6E99">
        <w:rPr>
          <w:b/>
          <w:bCs/>
        </w:rPr>
        <w:t>Direction</w:t>
      </w:r>
      <w:r w:rsidRPr="00B27EF9">
        <w:rPr>
          <w:b/>
          <w:bCs/>
        </w:rPr>
        <w:t>:</w:t>
      </w:r>
      <w:r w:rsidRPr="00C866F0">
        <w:t xml:space="preserve"> </w:t>
      </w:r>
      <w:r w:rsidR="004B6E99">
        <w:t>Quality</w:t>
      </w:r>
      <w:r w:rsidRPr="00C866F0">
        <w:br/>
      </w:r>
      <w:r w:rsidRPr="00B27EF9">
        <w:rPr>
          <w:b/>
          <w:bCs/>
        </w:rPr>
        <w:t>Indicator:</w:t>
      </w:r>
      <w:r w:rsidRPr="00C866F0">
        <w:t xml:space="preserve"> </w:t>
      </w:r>
      <w:r>
        <w:br/>
        <w:t xml:space="preserve">- </w:t>
      </w:r>
      <w:r w:rsidR="00D34BBE" w:rsidRPr="00D34BBE">
        <w:t>Percent of admitted patients who rated their experience as 9 or 10 out of 10.</w:t>
      </w:r>
      <w:r>
        <w:br/>
      </w:r>
      <w:r w:rsidR="002A1D1A" w:rsidRPr="00EE07EB">
        <w:rPr>
          <w:b/>
          <w:bCs/>
        </w:rPr>
        <w:t xml:space="preserve">2018-2019 </w:t>
      </w:r>
      <w:r w:rsidRPr="004F4760">
        <w:rPr>
          <w:b/>
          <w:bCs/>
        </w:rPr>
        <w:t>Result:</w:t>
      </w:r>
      <w:r w:rsidRPr="00C866F0">
        <w:t xml:space="preserve"> </w:t>
      </w:r>
      <w:r w:rsidR="00D34BBE">
        <w:t>6</w:t>
      </w:r>
      <w:r w:rsidR="004B6E99">
        <w:t>9</w:t>
      </w:r>
      <w:r w:rsidR="00D34BBE">
        <w:t>%</w:t>
      </w:r>
      <w:r w:rsidR="004F4760">
        <w:br/>
      </w:r>
      <w:r>
        <w:br/>
        <w:t xml:space="preserve">- </w:t>
      </w:r>
      <w:r w:rsidR="00BA7AC2" w:rsidRPr="00BA7AC2">
        <w:t>Hospital standardized mortality ratio (HSMR)</w:t>
      </w:r>
      <w:r w:rsidR="00BA7AC2">
        <w:t xml:space="preserve">: </w:t>
      </w:r>
      <w:r w:rsidR="00BA7AC2" w:rsidRPr="00BA7AC2">
        <w:t>Ratio of actual deaths to the number of expected deaths. A ratio greater than 100 means more deaths occurred than expected; a ratio less than 100 means fewer deaths occurred than expected.</w:t>
      </w:r>
    </w:p>
    <w:p w14:paraId="2CE9ED2B" w14:textId="35B5B728" w:rsidR="00372244" w:rsidRDefault="002A1D1A" w:rsidP="00BA7AC2">
      <w:pPr>
        <w:pStyle w:val="ListParagraph"/>
      </w:pPr>
      <w:r w:rsidRPr="00EE07EB">
        <w:rPr>
          <w:b/>
          <w:bCs/>
        </w:rPr>
        <w:t xml:space="preserve">2018-2019 </w:t>
      </w:r>
      <w:r w:rsidR="00337BA8" w:rsidRPr="004F4760">
        <w:rPr>
          <w:b/>
          <w:bCs/>
        </w:rPr>
        <w:t>Result</w:t>
      </w:r>
      <w:r w:rsidR="00337BA8" w:rsidRPr="008D1FBB">
        <w:t>:</w:t>
      </w:r>
      <w:r w:rsidR="00337BA8" w:rsidRPr="00C866F0">
        <w:t xml:space="preserve"> </w:t>
      </w:r>
      <w:r w:rsidR="00503D49">
        <w:t>8</w:t>
      </w:r>
      <w:r>
        <w:t>4</w:t>
      </w:r>
      <w:r w:rsidR="004F4760">
        <w:br/>
      </w:r>
    </w:p>
    <w:p w14:paraId="15C4D8A0" w14:textId="77777777" w:rsidR="00372244" w:rsidRDefault="00372244" w:rsidP="00BA7AC2">
      <w:pPr>
        <w:pStyle w:val="ListParagraph"/>
      </w:pPr>
    </w:p>
    <w:p w14:paraId="0510656E" w14:textId="77777777" w:rsidR="00A91F15" w:rsidRDefault="00A91F15" w:rsidP="00A91F15">
      <w:pPr>
        <w:pStyle w:val="ListParagraph"/>
      </w:pPr>
    </w:p>
    <w:p w14:paraId="15DF5B24" w14:textId="7C6E824A" w:rsidR="00845B77" w:rsidRDefault="00337BA8" w:rsidP="002A1D1A">
      <w:pPr>
        <w:pStyle w:val="ListParagraph"/>
      </w:pPr>
      <w:r>
        <w:lastRenderedPageBreak/>
        <w:br/>
        <w:t xml:space="preserve">- </w:t>
      </w:r>
      <w:r w:rsidR="00982124" w:rsidRPr="00982124">
        <w:t>Percentage of patients admitted through the Emergency Department who waited 24 hours or less before admission.</w:t>
      </w:r>
      <w:r w:rsidR="00A91F15">
        <w:br/>
      </w:r>
      <w:r w:rsidR="00372244">
        <w:rPr>
          <w:b/>
          <w:bCs/>
        </w:rPr>
        <w:t xml:space="preserve"> </w:t>
      </w:r>
      <w:r w:rsidR="002A1D1A" w:rsidRPr="00EE07EB">
        <w:rPr>
          <w:b/>
          <w:bCs/>
        </w:rPr>
        <w:t xml:space="preserve">2018-2019 </w:t>
      </w:r>
      <w:r w:rsidRPr="00372244">
        <w:rPr>
          <w:b/>
          <w:bCs/>
        </w:rPr>
        <w:t>Result:</w:t>
      </w:r>
      <w:r w:rsidRPr="00C866F0">
        <w:t xml:space="preserve"> </w:t>
      </w:r>
      <w:r w:rsidR="002A1D1A">
        <w:t>80</w:t>
      </w:r>
      <w:r w:rsidR="00982124">
        <w:t>%</w:t>
      </w:r>
      <w:r w:rsidR="002A1D1A">
        <w:t>*</w:t>
      </w:r>
      <w:r>
        <w:br/>
      </w:r>
    </w:p>
    <w:p w14:paraId="523DD0EA" w14:textId="6C389343" w:rsidR="00E142DC" w:rsidRPr="00E142DC" w:rsidRDefault="00DD0551" w:rsidP="00E142DC">
      <w:pPr>
        <w:pStyle w:val="ListParagraph"/>
        <w:numPr>
          <w:ilvl w:val="0"/>
          <w:numId w:val="12"/>
        </w:numPr>
        <w:rPr>
          <w:rFonts w:cs="Arial"/>
          <w:color w:val="434445"/>
        </w:rPr>
      </w:pPr>
      <w:r w:rsidRPr="00B27EF9">
        <w:rPr>
          <w:b/>
          <w:bCs/>
        </w:rPr>
        <w:t xml:space="preserve">Strategic </w:t>
      </w:r>
      <w:r w:rsidR="008B3CF1">
        <w:rPr>
          <w:b/>
          <w:bCs/>
        </w:rPr>
        <w:t>Direction</w:t>
      </w:r>
      <w:r w:rsidRPr="00B27EF9">
        <w:rPr>
          <w:b/>
          <w:bCs/>
        </w:rPr>
        <w:t>:</w:t>
      </w:r>
      <w:r w:rsidR="00095381">
        <w:rPr>
          <w:b/>
          <w:bCs/>
        </w:rPr>
        <w:t xml:space="preserve"> </w:t>
      </w:r>
      <w:r w:rsidR="00095381" w:rsidRPr="00095381">
        <w:t>People</w:t>
      </w:r>
      <w:r w:rsidRPr="00C866F0">
        <w:t xml:space="preserve"> </w:t>
      </w:r>
      <w:r w:rsidRPr="00C866F0">
        <w:br/>
      </w:r>
      <w:r w:rsidRPr="00B27EF9">
        <w:rPr>
          <w:rFonts w:cs="Arial"/>
          <w:b/>
          <w:bCs/>
        </w:rPr>
        <w:t>Indicator:</w:t>
      </w:r>
      <w:r w:rsidRPr="00B27EF9">
        <w:rPr>
          <w:rFonts w:cs="Arial"/>
        </w:rPr>
        <w:t xml:space="preserve"> </w:t>
      </w:r>
    </w:p>
    <w:p w14:paraId="21108EBC" w14:textId="1FE7529D" w:rsidR="00C20B8F" w:rsidRPr="00E142DC" w:rsidRDefault="00C416B5" w:rsidP="00E142DC">
      <w:pPr>
        <w:pStyle w:val="ListParagraph"/>
        <w:rPr>
          <w:rFonts w:cs="Arial"/>
          <w:color w:val="434445"/>
        </w:rPr>
      </w:pPr>
      <w:r>
        <w:rPr>
          <w:b/>
          <w:bCs/>
        </w:rPr>
        <w:t xml:space="preserve">- </w:t>
      </w:r>
      <w:r w:rsidR="005C28E3" w:rsidRPr="00E142DC">
        <w:rPr>
          <w:rFonts w:cs="Arial"/>
          <w:color w:val="434445"/>
        </w:rPr>
        <w:t>Absenteeism</w:t>
      </w:r>
      <w:r w:rsidR="00C66550" w:rsidRPr="00E142DC">
        <w:rPr>
          <w:rFonts w:cs="Arial"/>
          <w:color w:val="434445"/>
        </w:rPr>
        <w:t xml:space="preserve"> – annualized (sick days per full-time employee)</w:t>
      </w:r>
      <w:r w:rsidR="00994505">
        <w:rPr>
          <w:rFonts w:cs="Arial"/>
          <w:color w:val="434445"/>
        </w:rPr>
        <w:t>:</w:t>
      </w:r>
      <w:r w:rsidR="00A035A0" w:rsidRPr="00E142DC">
        <w:rPr>
          <w:rFonts w:cs="Arial"/>
          <w:color w:val="434445"/>
        </w:rPr>
        <w:br/>
      </w:r>
      <w:r w:rsidR="003E601C" w:rsidRPr="00EE07EB">
        <w:rPr>
          <w:b/>
          <w:bCs/>
        </w:rPr>
        <w:t xml:space="preserve">2018-2019 </w:t>
      </w:r>
      <w:r w:rsidR="00EE0F52" w:rsidRPr="00372244">
        <w:rPr>
          <w:b/>
          <w:bCs/>
        </w:rPr>
        <w:t>Result:</w:t>
      </w:r>
      <w:r w:rsidR="00EE0F52" w:rsidRPr="00C866F0">
        <w:t xml:space="preserve"> </w:t>
      </w:r>
      <w:r w:rsidR="003E601C">
        <w:rPr>
          <w:rFonts w:cs="Arial"/>
          <w:color w:val="434445"/>
        </w:rPr>
        <w:t>14.1</w:t>
      </w:r>
      <w:r w:rsidR="00A035A0" w:rsidRPr="0075756E">
        <w:rPr>
          <w:rFonts w:cs="Arial"/>
          <w:color w:val="434445"/>
        </w:rPr>
        <w:t>*</w:t>
      </w:r>
      <w:r w:rsidR="00DE53ED" w:rsidRPr="00E142DC">
        <w:rPr>
          <w:rFonts w:cs="Arial"/>
          <w:color w:val="434445"/>
        </w:rPr>
        <w:br/>
        <w:t>- Staff Incidents</w:t>
      </w:r>
      <w:r w:rsidR="00DB1EEA" w:rsidRPr="00E142DC">
        <w:rPr>
          <w:rFonts w:cs="Arial"/>
          <w:color w:val="434445"/>
        </w:rPr>
        <w:t xml:space="preserve"> – reportable (avg. per 30 days)</w:t>
      </w:r>
      <w:r w:rsidR="00994505">
        <w:rPr>
          <w:rFonts w:cs="Arial"/>
          <w:color w:val="434445"/>
        </w:rPr>
        <w:t>:</w:t>
      </w:r>
      <w:r w:rsidR="00DB1EEA" w:rsidRPr="00E142DC">
        <w:rPr>
          <w:rFonts w:cs="Arial"/>
          <w:color w:val="434445"/>
        </w:rPr>
        <w:br/>
      </w:r>
      <w:r w:rsidR="003E601C" w:rsidRPr="00EE07EB">
        <w:rPr>
          <w:b/>
          <w:bCs/>
        </w:rPr>
        <w:t xml:space="preserve">2018-2019 </w:t>
      </w:r>
      <w:r w:rsidR="00EE0F52" w:rsidRPr="00372244">
        <w:rPr>
          <w:b/>
          <w:bCs/>
        </w:rPr>
        <w:t>Result:</w:t>
      </w:r>
      <w:r w:rsidR="00EE0F52" w:rsidRPr="00C866F0">
        <w:t xml:space="preserve"> </w:t>
      </w:r>
      <w:r w:rsidR="003E601C">
        <w:rPr>
          <w:rFonts w:cs="Arial"/>
          <w:color w:val="434445"/>
        </w:rPr>
        <w:t>48</w:t>
      </w:r>
      <w:r w:rsidR="0075756E">
        <w:rPr>
          <w:rFonts w:cs="Arial"/>
          <w:color w:val="434445"/>
        </w:rPr>
        <w:t>.</w:t>
      </w:r>
      <w:r w:rsidR="003E601C">
        <w:rPr>
          <w:rFonts w:cs="Arial"/>
          <w:color w:val="434445"/>
        </w:rPr>
        <w:t>3</w:t>
      </w:r>
      <w:r w:rsidR="00A035A0" w:rsidRPr="00E142DC">
        <w:rPr>
          <w:rFonts w:cs="Arial"/>
          <w:color w:val="434445"/>
        </w:rPr>
        <w:br/>
      </w:r>
    </w:p>
    <w:p w14:paraId="4A20366C" w14:textId="275249EC" w:rsidR="00EA7D8E" w:rsidRPr="00EA7D8E" w:rsidRDefault="00F5702C" w:rsidP="00B27EF9">
      <w:pPr>
        <w:pStyle w:val="ListParagraph"/>
        <w:numPr>
          <w:ilvl w:val="0"/>
          <w:numId w:val="12"/>
        </w:numPr>
        <w:rPr>
          <w:rFonts w:cs="Arial"/>
        </w:rPr>
      </w:pPr>
      <w:r w:rsidRPr="00B27EF9">
        <w:rPr>
          <w:b/>
          <w:bCs/>
        </w:rPr>
        <w:t xml:space="preserve">Strategic </w:t>
      </w:r>
      <w:r w:rsidR="0075756E">
        <w:rPr>
          <w:b/>
          <w:bCs/>
        </w:rPr>
        <w:t>Direction</w:t>
      </w:r>
      <w:r w:rsidRPr="00B27EF9">
        <w:rPr>
          <w:b/>
          <w:bCs/>
        </w:rPr>
        <w:t>:</w:t>
      </w:r>
      <w:r w:rsidRPr="00CE6AA9">
        <w:t xml:space="preserve"> </w:t>
      </w:r>
      <w:r w:rsidR="0075756E">
        <w:t>Partners</w:t>
      </w:r>
      <w:r w:rsidRPr="00CE6AA9">
        <w:br/>
      </w:r>
      <w:r w:rsidRPr="00B27EF9">
        <w:rPr>
          <w:b/>
          <w:bCs/>
        </w:rPr>
        <w:t>Indicator:</w:t>
      </w:r>
      <w:r w:rsidRPr="00CE6AA9">
        <w:t xml:space="preserve"> </w:t>
      </w:r>
    </w:p>
    <w:p w14:paraId="637F624F" w14:textId="23DC1570" w:rsidR="00C51BCA" w:rsidRDefault="00EA7D8E" w:rsidP="00C51BCA">
      <w:pPr>
        <w:pStyle w:val="ListParagraph"/>
      </w:pPr>
      <w:r>
        <w:t xml:space="preserve">- </w:t>
      </w:r>
      <w:r w:rsidR="00F5702C" w:rsidRPr="00B27EF9">
        <w:rPr>
          <w:rFonts w:cs="Arial"/>
        </w:rPr>
        <w:t>30-day unplanned readmissions</w:t>
      </w:r>
      <w:r w:rsidR="00CE6AA9" w:rsidRPr="00B27EF9">
        <w:rPr>
          <w:rFonts w:cs="Arial"/>
        </w:rPr>
        <w:t>:</w:t>
      </w:r>
      <w:r>
        <w:rPr>
          <w:rFonts w:cs="Arial"/>
        </w:rPr>
        <w:t xml:space="preserve"> </w:t>
      </w:r>
      <w:r w:rsidR="00F5702C" w:rsidRPr="00B27EF9">
        <w:rPr>
          <w:rFonts w:cs="Arial"/>
        </w:rPr>
        <w:t>Percent of patients readmitted within 30 days of hospital discharge.</w:t>
      </w:r>
      <w:r w:rsidR="00CE6AA9" w:rsidRPr="00B27EF9">
        <w:rPr>
          <w:rFonts w:cs="Arial"/>
        </w:rPr>
        <w:br/>
      </w:r>
      <w:r w:rsidR="008479F4" w:rsidRPr="00EE07EB">
        <w:rPr>
          <w:b/>
          <w:bCs/>
        </w:rPr>
        <w:t xml:space="preserve">2018-2019 </w:t>
      </w:r>
      <w:r w:rsidR="00EE0F52" w:rsidRPr="00372244">
        <w:rPr>
          <w:b/>
          <w:bCs/>
        </w:rPr>
        <w:t>Result:</w:t>
      </w:r>
      <w:r w:rsidR="00EE0F52" w:rsidRPr="00C866F0">
        <w:t xml:space="preserve"> </w:t>
      </w:r>
      <w:r>
        <w:t>9.</w:t>
      </w:r>
      <w:r w:rsidR="008479F4">
        <w:t>9</w:t>
      </w:r>
      <w:r w:rsidR="00CE6AA9" w:rsidRPr="00CE6AA9">
        <w:t>%</w:t>
      </w:r>
      <w:r w:rsidR="00917BF3">
        <w:br/>
      </w:r>
      <w:r w:rsidR="00CE6AA9" w:rsidRPr="00B27EF9">
        <w:rPr>
          <w:rFonts w:cs="Arial"/>
        </w:rPr>
        <w:br/>
      </w:r>
      <w:r>
        <w:rPr>
          <w:rFonts w:cs="Arial"/>
          <w:b/>
          <w:bCs/>
        </w:rPr>
        <w:t xml:space="preserve">- </w:t>
      </w:r>
      <w:r w:rsidR="00CE6AA9" w:rsidRPr="00B27EF9">
        <w:rPr>
          <w:rFonts w:cs="Arial"/>
        </w:rPr>
        <w:t>ALC rate</w:t>
      </w:r>
      <w:r w:rsidR="00CB235F" w:rsidRPr="00B27EF9">
        <w:rPr>
          <w:rFonts w:cs="Arial"/>
        </w:rPr>
        <w:t>:</w:t>
      </w:r>
      <w:r w:rsidR="00CE6AA9" w:rsidRPr="00B27EF9">
        <w:rPr>
          <w:rFonts w:cs="Arial"/>
        </w:rPr>
        <w:br/>
        <w:t>Percent of inpatient beds that are occupied by patients in an alternate level of care (ALC). These patients no longer require acute care and are waiting for discharge supports like homecare or for placement in a downstream facility.</w:t>
      </w:r>
      <w:r w:rsidR="00F5702C" w:rsidRPr="00CE6AA9">
        <w:br/>
      </w:r>
      <w:r w:rsidR="008479F4" w:rsidRPr="00EE07EB">
        <w:rPr>
          <w:b/>
          <w:bCs/>
        </w:rPr>
        <w:t xml:space="preserve">2018-2019 </w:t>
      </w:r>
      <w:r w:rsidR="00EE0F52" w:rsidRPr="00372244">
        <w:rPr>
          <w:b/>
          <w:bCs/>
        </w:rPr>
        <w:t>Result:</w:t>
      </w:r>
      <w:r w:rsidR="00EE0F52" w:rsidRPr="00C866F0">
        <w:t xml:space="preserve"> </w:t>
      </w:r>
      <w:r w:rsidR="00EE0F52">
        <w:t>1</w:t>
      </w:r>
      <w:r w:rsidR="008479F4">
        <w:t>5.4</w:t>
      </w:r>
      <w:r w:rsidR="00CE6AA9" w:rsidRPr="00CE6AA9">
        <w:t>%</w:t>
      </w:r>
      <w:r w:rsidR="00917BF3">
        <w:br/>
      </w:r>
    </w:p>
    <w:p w14:paraId="6D737992" w14:textId="5F7D8C78" w:rsidR="000F32C4" w:rsidRPr="000F32C4" w:rsidRDefault="00C51BCA" w:rsidP="000F32C4">
      <w:pPr>
        <w:pStyle w:val="ListParagraph"/>
      </w:pPr>
      <w:r>
        <w:t xml:space="preserve">- </w:t>
      </w:r>
      <w:r w:rsidR="00831B23">
        <w:t>Academics</w:t>
      </w:r>
      <w:r w:rsidR="000F5B31">
        <w:t>:</w:t>
      </w:r>
      <w:r w:rsidR="00A11CB8">
        <w:t xml:space="preserve"> Based on a 5-point score. Calculated from:</w:t>
      </w:r>
    </w:p>
    <w:p w14:paraId="020BD220" w14:textId="4614B308" w:rsidR="000F32C4" w:rsidRPr="000F32C4" w:rsidRDefault="000F5B31" w:rsidP="006C7F75">
      <w:pPr>
        <w:pStyle w:val="ListParagraph"/>
        <w:numPr>
          <w:ilvl w:val="0"/>
          <w:numId w:val="21"/>
        </w:numPr>
      </w:pPr>
      <w:r>
        <w:t xml:space="preserve">The </w:t>
      </w:r>
      <w:r w:rsidR="000F32C4" w:rsidRPr="000F32C4">
        <w:t>number of research studies published</w:t>
      </w:r>
    </w:p>
    <w:p w14:paraId="1A88C150" w14:textId="12429526" w:rsidR="000F32C4" w:rsidRPr="000F32C4" w:rsidRDefault="000F5B31" w:rsidP="006C7F75">
      <w:pPr>
        <w:pStyle w:val="ListParagraph"/>
        <w:numPr>
          <w:ilvl w:val="0"/>
          <w:numId w:val="21"/>
        </w:numPr>
      </w:pPr>
      <w:r>
        <w:t xml:space="preserve">The </w:t>
      </w:r>
      <w:r w:rsidR="000F32C4" w:rsidRPr="000F32C4">
        <w:t>number of times published research is cited</w:t>
      </w:r>
    </w:p>
    <w:p w14:paraId="0B6CC993" w14:textId="29FB7C95" w:rsidR="000F32C4" w:rsidRPr="000F32C4" w:rsidRDefault="000F5B31" w:rsidP="006C7F75">
      <w:pPr>
        <w:pStyle w:val="ListParagraph"/>
        <w:numPr>
          <w:ilvl w:val="0"/>
          <w:numId w:val="21"/>
        </w:numPr>
      </w:pPr>
      <w:r>
        <w:t xml:space="preserve">The </w:t>
      </w:r>
      <w:r w:rsidR="000F32C4" w:rsidRPr="000F32C4">
        <w:t>number of patients participating in clinical trials</w:t>
      </w:r>
    </w:p>
    <w:p w14:paraId="677DB6A9" w14:textId="0E17326C" w:rsidR="000F32C4" w:rsidRPr="000F32C4" w:rsidRDefault="000F5B31" w:rsidP="006C7F75">
      <w:pPr>
        <w:pStyle w:val="ListParagraph"/>
        <w:numPr>
          <w:ilvl w:val="0"/>
          <w:numId w:val="21"/>
        </w:numPr>
      </w:pPr>
      <w:r>
        <w:t xml:space="preserve">The </w:t>
      </w:r>
      <w:r w:rsidR="000F32C4" w:rsidRPr="000F32C4">
        <w:t>number of patients consenting to be contacted for research purposes</w:t>
      </w:r>
    </w:p>
    <w:p w14:paraId="5CD55C51" w14:textId="386B5ADE" w:rsidR="000F32C4" w:rsidRPr="000F32C4" w:rsidRDefault="000F5B31" w:rsidP="006C7F75">
      <w:pPr>
        <w:pStyle w:val="ListParagraph"/>
        <w:numPr>
          <w:ilvl w:val="0"/>
          <w:numId w:val="21"/>
        </w:numPr>
      </w:pPr>
      <w:r>
        <w:t xml:space="preserve">The </w:t>
      </w:r>
      <w:r w:rsidR="000F32C4" w:rsidRPr="000F32C4">
        <w:t>amount of external funding received</w:t>
      </w:r>
    </w:p>
    <w:p w14:paraId="732FC6FA" w14:textId="4ADD99B4" w:rsidR="00CF63C1" w:rsidRPr="00765693" w:rsidRDefault="008479F4" w:rsidP="00765693">
      <w:pPr>
        <w:pStyle w:val="ListParagraph"/>
      </w:pPr>
      <w:r w:rsidRPr="00EE07EB">
        <w:rPr>
          <w:b/>
          <w:bCs/>
        </w:rPr>
        <w:t xml:space="preserve">2018-2019 </w:t>
      </w:r>
      <w:r w:rsidR="00A11CB8" w:rsidRPr="00372244">
        <w:rPr>
          <w:b/>
          <w:bCs/>
        </w:rPr>
        <w:t>Result:</w:t>
      </w:r>
      <w:r w:rsidR="00A11CB8">
        <w:rPr>
          <w:b/>
          <w:bCs/>
        </w:rPr>
        <w:t xml:space="preserve"> </w:t>
      </w:r>
      <w:r>
        <w:t>3.8</w:t>
      </w:r>
      <w:r w:rsidR="00765693">
        <w:t>*</w:t>
      </w:r>
      <w:r w:rsidR="00C51BCA">
        <w:br/>
      </w:r>
    </w:p>
    <w:p w14:paraId="45021EE3" w14:textId="0913D2E5" w:rsidR="00620376" w:rsidRDefault="00270BCC" w:rsidP="00620376">
      <w:r w:rsidRPr="00270BCC">
        <w:t>*Measurable improvement during fiscal year</w:t>
      </w:r>
    </w:p>
    <w:p w14:paraId="5738C9AC" w14:textId="4211503D" w:rsidR="00BA3483" w:rsidRPr="000351C1" w:rsidRDefault="008479F4" w:rsidP="00620376">
      <w:pPr>
        <w:pStyle w:val="Heading1"/>
      </w:pPr>
      <w:r w:rsidRPr="00C45B7A">
        <w:lastRenderedPageBreak/>
        <w:br/>
      </w:r>
      <w:r w:rsidR="00A76B29" w:rsidRPr="000351C1">
        <w:t>Financials</w:t>
      </w:r>
    </w:p>
    <w:p w14:paraId="41345D53" w14:textId="603E46BD" w:rsidR="00A76B29" w:rsidRPr="00A0149D" w:rsidRDefault="00A76B29" w:rsidP="00A15CD5">
      <w:pPr>
        <w:rPr>
          <w:rFonts w:ascii="Arial" w:hAnsi="Arial" w:cs="Arial"/>
          <w:sz w:val="40"/>
          <w:szCs w:val="40"/>
        </w:rPr>
      </w:pPr>
      <w:r w:rsidRPr="00A0149D">
        <w:rPr>
          <w:rFonts w:ascii="Arial" w:hAnsi="Arial" w:cs="Arial"/>
          <w:sz w:val="40"/>
          <w:szCs w:val="40"/>
        </w:rPr>
        <w:t>The Ottawa Hospital</w:t>
      </w:r>
    </w:p>
    <w:p w14:paraId="5E93DF9B" w14:textId="5C43BB56" w:rsidR="00A76B29" w:rsidRPr="000351C1" w:rsidRDefault="00A76B29" w:rsidP="00A96557">
      <w:pPr>
        <w:pStyle w:val="Heading3"/>
        <w:rPr>
          <w:rFonts w:ascii="Arial" w:hAnsi="Arial" w:cs="Arial"/>
        </w:rPr>
      </w:pPr>
      <w:r w:rsidRPr="000351C1">
        <w:rPr>
          <w:rFonts w:ascii="Arial" w:hAnsi="Arial" w:cs="Arial"/>
        </w:rPr>
        <w:t>Revenue distribution 20</w:t>
      </w:r>
      <w:r w:rsidR="001C1205">
        <w:rPr>
          <w:rFonts w:ascii="Arial" w:hAnsi="Arial" w:cs="Arial"/>
        </w:rPr>
        <w:t>1</w:t>
      </w:r>
      <w:r w:rsidR="00C45B7A">
        <w:rPr>
          <w:rFonts w:ascii="Arial" w:hAnsi="Arial" w:cs="Arial"/>
        </w:rPr>
        <w:t>8</w:t>
      </w:r>
      <w:r w:rsidRPr="000351C1">
        <w:rPr>
          <w:rFonts w:ascii="Arial" w:hAnsi="Arial" w:cs="Arial"/>
        </w:rPr>
        <w:t>-20</w:t>
      </w:r>
      <w:r w:rsidR="00C45B7A">
        <w:rPr>
          <w:rFonts w:ascii="Arial" w:hAnsi="Arial" w:cs="Arial"/>
        </w:rPr>
        <w:t>19</w:t>
      </w:r>
    </w:p>
    <w:p w14:paraId="2C95F35E" w14:textId="202CFD36" w:rsidR="00A76B29" w:rsidRDefault="00A76B29" w:rsidP="00A76B29">
      <w:pPr>
        <w:pStyle w:val="ListParagraph"/>
        <w:numPr>
          <w:ilvl w:val="0"/>
          <w:numId w:val="5"/>
        </w:numPr>
        <w:rPr>
          <w:rFonts w:ascii="Arial" w:hAnsi="Arial" w:cs="Arial"/>
        </w:rPr>
      </w:pPr>
      <w:r w:rsidRPr="000351C1">
        <w:rPr>
          <w:rFonts w:ascii="Arial" w:hAnsi="Arial" w:cs="Arial"/>
        </w:rPr>
        <w:t>Ontario Ministry of Health and Long-Term Care – 7</w:t>
      </w:r>
      <w:r w:rsidR="002B408A">
        <w:rPr>
          <w:rFonts w:ascii="Arial" w:hAnsi="Arial" w:cs="Arial"/>
        </w:rPr>
        <w:t>7</w:t>
      </w:r>
      <w:r w:rsidRPr="000351C1">
        <w:rPr>
          <w:rFonts w:ascii="Arial" w:hAnsi="Arial" w:cs="Arial"/>
        </w:rPr>
        <w:t>%</w:t>
      </w:r>
    </w:p>
    <w:p w14:paraId="44C7AF4C" w14:textId="6970E557" w:rsidR="002B408A" w:rsidRPr="000351C1" w:rsidRDefault="002B408A" w:rsidP="00A76B29">
      <w:pPr>
        <w:pStyle w:val="ListParagraph"/>
        <w:numPr>
          <w:ilvl w:val="0"/>
          <w:numId w:val="5"/>
        </w:numPr>
        <w:rPr>
          <w:rFonts w:ascii="Arial" w:hAnsi="Arial" w:cs="Arial"/>
        </w:rPr>
      </w:pPr>
      <w:r>
        <w:rPr>
          <w:rFonts w:ascii="Arial" w:hAnsi="Arial" w:cs="Arial"/>
        </w:rPr>
        <w:t>Patient Revenues – 12%</w:t>
      </w:r>
    </w:p>
    <w:p w14:paraId="26FF5614" w14:textId="7913FCD8" w:rsidR="00A76B29" w:rsidRPr="00995D9F" w:rsidRDefault="00A76B29" w:rsidP="00995D9F">
      <w:pPr>
        <w:pStyle w:val="ListParagraph"/>
        <w:numPr>
          <w:ilvl w:val="0"/>
          <w:numId w:val="5"/>
        </w:numPr>
        <w:rPr>
          <w:rFonts w:ascii="Arial" w:hAnsi="Arial" w:cs="Arial"/>
        </w:rPr>
      </w:pPr>
      <w:r w:rsidRPr="000351C1">
        <w:rPr>
          <w:rFonts w:ascii="Arial" w:hAnsi="Arial" w:cs="Arial"/>
        </w:rPr>
        <w:t xml:space="preserve">Sundry and ancillary – </w:t>
      </w:r>
      <w:r w:rsidR="002B408A">
        <w:rPr>
          <w:rFonts w:ascii="Arial" w:hAnsi="Arial" w:cs="Arial"/>
        </w:rPr>
        <w:t>8</w:t>
      </w:r>
      <w:r w:rsidRPr="000351C1">
        <w:rPr>
          <w:rFonts w:ascii="Arial" w:hAnsi="Arial" w:cs="Arial"/>
        </w:rPr>
        <w:t>%</w:t>
      </w:r>
    </w:p>
    <w:p w14:paraId="158909AF" w14:textId="700C51D3" w:rsidR="00AD39DF" w:rsidRDefault="00A76B29" w:rsidP="00F15EA1">
      <w:pPr>
        <w:pStyle w:val="ListParagraph"/>
        <w:numPr>
          <w:ilvl w:val="0"/>
          <w:numId w:val="5"/>
        </w:numPr>
        <w:rPr>
          <w:rFonts w:ascii="Arial" w:hAnsi="Arial" w:cs="Arial"/>
        </w:rPr>
      </w:pPr>
      <w:r w:rsidRPr="000351C1">
        <w:rPr>
          <w:rFonts w:ascii="Arial" w:hAnsi="Arial" w:cs="Arial"/>
        </w:rPr>
        <w:t>Amor</w:t>
      </w:r>
      <w:r w:rsidR="00AD39DF" w:rsidRPr="000351C1">
        <w:rPr>
          <w:rFonts w:ascii="Arial" w:hAnsi="Arial" w:cs="Arial"/>
        </w:rPr>
        <w:t>tization of grants – 2%</w:t>
      </w:r>
    </w:p>
    <w:p w14:paraId="1BDB7FED" w14:textId="3D021CA6" w:rsidR="001C1205" w:rsidRDefault="001C1205" w:rsidP="00F15EA1">
      <w:pPr>
        <w:pStyle w:val="ListParagraph"/>
        <w:numPr>
          <w:ilvl w:val="0"/>
          <w:numId w:val="5"/>
        </w:numPr>
        <w:rPr>
          <w:rFonts w:ascii="Arial" w:hAnsi="Arial" w:cs="Arial"/>
        </w:rPr>
      </w:pPr>
      <w:r>
        <w:rPr>
          <w:rFonts w:ascii="Arial" w:hAnsi="Arial" w:cs="Arial"/>
        </w:rPr>
        <w:t>Preferred accommodation and copayment – 1%</w:t>
      </w:r>
    </w:p>
    <w:p w14:paraId="09673BDC" w14:textId="44D855B4" w:rsidR="00995D9F" w:rsidRPr="00F15EA1" w:rsidRDefault="00995D9F" w:rsidP="00F15EA1">
      <w:pPr>
        <w:pStyle w:val="ListParagraph"/>
        <w:numPr>
          <w:ilvl w:val="0"/>
          <w:numId w:val="5"/>
        </w:numPr>
        <w:rPr>
          <w:rFonts w:ascii="Arial" w:hAnsi="Arial" w:cs="Arial"/>
        </w:rPr>
      </w:pPr>
      <w:r>
        <w:rPr>
          <w:rFonts w:ascii="Arial" w:hAnsi="Arial" w:cs="Arial"/>
        </w:rPr>
        <w:t xml:space="preserve">Connecting Northern and Eastern Ontario </w:t>
      </w:r>
      <w:r w:rsidR="00BD0936">
        <w:rPr>
          <w:rFonts w:ascii="Arial" w:hAnsi="Arial" w:cs="Arial"/>
        </w:rPr>
        <w:t>–</w:t>
      </w:r>
      <w:r>
        <w:rPr>
          <w:rFonts w:ascii="Arial" w:hAnsi="Arial" w:cs="Arial"/>
        </w:rPr>
        <w:t xml:space="preserve"> 0</w:t>
      </w:r>
      <w:r w:rsidR="00BD0936">
        <w:rPr>
          <w:rFonts w:ascii="Arial" w:hAnsi="Arial" w:cs="Arial"/>
        </w:rPr>
        <w:t>%</w:t>
      </w:r>
    </w:p>
    <w:p w14:paraId="1A38075E" w14:textId="113C8506" w:rsidR="00AD39DF" w:rsidRPr="00036A44" w:rsidRDefault="00AD39DF" w:rsidP="00B21BA2">
      <w:pPr>
        <w:pStyle w:val="Heading4"/>
      </w:pPr>
      <w:r w:rsidRPr="00A0149D">
        <w:t>Total: $</w:t>
      </w:r>
      <w:r w:rsidR="00C00435">
        <w:t>1</w:t>
      </w:r>
      <w:r w:rsidR="00487A7C">
        <w:t>,</w:t>
      </w:r>
      <w:r w:rsidR="00BD0936">
        <w:t>385</w:t>
      </w:r>
      <w:r w:rsidRPr="00A0149D">
        <w:t>M</w:t>
      </w:r>
      <w:r w:rsidR="00BD0936">
        <w:br/>
      </w:r>
      <w:r w:rsidRPr="00A0149D">
        <w:t xml:space="preserve"> </w:t>
      </w:r>
      <w:r w:rsidR="001B0A7C">
        <w:br/>
      </w:r>
      <w:r w:rsidR="001B0A7C" w:rsidRPr="00706DB5">
        <w:rPr>
          <w:color w:val="156082" w:themeColor="accent1"/>
          <w:sz w:val="36"/>
          <w:szCs w:val="36"/>
        </w:rPr>
        <w:t>Expenditure distribution 20</w:t>
      </w:r>
      <w:r w:rsidR="00252003" w:rsidRPr="00706DB5">
        <w:rPr>
          <w:color w:val="156082" w:themeColor="accent1"/>
          <w:sz w:val="36"/>
          <w:szCs w:val="36"/>
        </w:rPr>
        <w:t>1</w:t>
      </w:r>
      <w:r w:rsidR="00BD0936">
        <w:rPr>
          <w:color w:val="156082" w:themeColor="accent1"/>
          <w:sz w:val="36"/>
          <w:szCs w:val="36"/>
        </w:rPr>
        <w:t>8</w:t>
      </w:r>
      <w:r w:rsidR="001B0A7C" w:rsidRPr="00706DB5">
        <w:rPr>
          <w:color w:val="156082" w:themeColor="accent1"/>
          <w:sz w:val="36"/>
          <w:szCs w:val="36"/>
        </w:rPr>
        <w:t>-20</w:t>
      </w:r>
      <w:r w:rsidR="00BD0936">
        <w:rPr>
          <w:color w:val="156082" w:themeColor="accent1"/>
          <w:sz w:val="36"/>
          <w:szCs w:val="36"/>
        </w:rPr>
        <w:t>19</w:t>
      </w:r>
    </w:p>
    <w:p w14:paraId="35FFE7DA" w14:textId="27DDC7FC" w:rsidR="00AD39DF" w:rsidRPr="000351C1" w:rsidRDefault="00AD39DF" w:rsidP="00AD39DF">
      <w:pPr>
        <w:pStyle w:val="ListParagraph"/>
        <w:numPr>
          <w:ilvl w:val="0"/>
          <w:numId w:val="6"/>
        </w:numPr>
        <w:rPr>
          <w:rFonts w:ascii="Arial" w:hAnsi="Arial" w:cs="Arial"/>
        </w:rPr>
      </w:pPr>
      <w:r w:rsidRPr="000351C1">
        <w:rPr>
          <w:rFonts w:ascii="Arial" w:hAnsi="Arial" w:cs="Arial"/>
        </w:rPr>
        <w:t>Salaries – 5</w:t>
      </w:r>
      <w:r w:rsidR="00BD0936">
        <w:rPr>
          <w:rFonts w:ascii="Arial" w:hAnsi="Arial" w:cs="Arial"/>
        </w:rPr>
        <w:t>8</w:t>
      </w:r>
      <w:r w:rsidRPr="000351C1">
        <w:rPr>
          <w:rFonts w:ascii="Arial" w:hAnsi="Arial" w:cs="Arial"/>
        </w:rPr>
        <w:t>%</w:t>
      </w:r>
    </w:p>
    <w:p w14:paraId="5F86D1C7" w14:textId="7F5DAC37"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Other supplies – </w:t>
      </w:r>
      <w:r w:rsidR="00252003">
        <w:rPr>
          <w:rFonts w:ascii="Arial" w:hAnsi="Arial" w:cs="Arial"/>
        </w:rPr>
        <w:t>1</w:t>
      </w:r>
      <w:r w:rsidR="00BD0936">
        <w:rPr>
          <w:rFonts w:ascii="Arial" w:hAnsi="Arial" w:cs="Arial"/>
        </w:rPr>
        <w:t>8</w:t>
      </w:r>
      <w:r w:rsidRPr="000351C1">
        <w:rPr>
          <w:rFonts w:ascii="Arial" w:hAnsi="Arial" w:cs="Arial"/>
        </w:rPr>
        <w:t>%</w:t>
      </w:r>
    </w:p>
    <w:p w14:paraId="521DF58E" w14:textId="5C7975D9"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Medical and surgical supplies – </w:t>
      </w:r>
      <w:r w:rsidR="00252003">
        <w:rPr>
          <w:rFonts w:ascii="Arial" w:hAnsi="Arial" w:cs="Arial"/>
        </w:rPr>
        <w:t>8</w:t>
      </w:r>
      <w:r w:rsidRPr="000351C1">
        <w:rPr>
          <w:rFonts w:ascii="Arial" w:hAnsi="Arial" w:cs="Arial"/>
        </w:rPr>
        <w:t>%</w:t>
      </w:r>
    </w:p>
    <w:p w14:paraId="215F64F1" w14:textId="1362EF34"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Drugs and gases – </w:t>
      </w:r>
      <w:r w:rsidR="00036A44">
        <w:rPr>
          <w:rFonts w:ascii="Arial" w:hAnsi="Arial" w:cs="Arial"/>
        </w:rPr>
        <w:t>6</w:t>
      </w:r>
      <w:r w:rsidRPr="000351C1">
        <w:rPr>
          <w:rFonts w:ascii="Arial" w:hAnsi="Arial" w:cs="Arial"/>
        </w:rPr>
        <w:t>%</w:t>
      </w:r>
    </w:p>
    <w:p w14:paraId="7B4C9E40" w14:textId="3227A918" w:rsidR="00AD39DF" w:rsidRPr="000351C1" w:rsidRDefault="00AD39DF" w:rsidP="00AD39DF">
      <w:pPr>
        <w:pStyle w:val="ListParagraph"/>
        <w:numPr>
          <w:ilvl w:val="0"/>
          <w:numId w:val="6"/>
        </w:numPr>
        <w:rPr>
          <w:rFonts w:ascii="Arial" w:hAnsi="Arial" w:cs="Arial"/>
        </w:rPr>
      </w:pPr>
      <w:r w:rsidRPr="000351C1">
        <w:rPr>
          <w:rFonts w:ascii="Arial" w:hAnsi="Arial" w:cs="Arial"/>
        </w:rPr>
        <w:t>Medical staff – 5%</w:t>
      </w:r>
    </w:p>
    <w:p w14:paraId="2C855277" w14:textId="77777777" w:rsidR="0063497B" w:rsidRDefault="00AD39DF" w:rsidP="00A0149D">
      <w:pPr>
        <w:pStyle w:val="ListParagraph"/>
        <w:numPr>
          <w:ilvl w:val="0"/>
          <w:numId w:val="6"/>
        </w:numPr>
        <w:rPr>
          <w:rFonts w:ascii="Arial" w:hAnsi="Arial" w:cs="Arial"/>
        </w:rPr>
      </w:pPr>
      <w:r w:rsidRPr="000351C1">
        <w:rPr>
          <w:rFonts w:ascii="Arial" w:hAnsi="Arial" w:cs="Arial"/>
        </w:rPr>
        <w:t xml:space="preserve">Depreciation and amortization – </w:t>
      </w:r>
      <w:r w:rsidR="00EC1C28">
        <w:rPr>
          <w:rFonts w:ascii="Arial" w:hAnsi="Arial" w:cs="Arial"/>
        </w:rPr>
        <w:t>5</w:t>
      </w:r>
      <w:r w:rsidRPr="000351C1">
        <w:rPr>
          <w:rFonts w:ascii="Arial" w:hAnsi="Arial" w:cs="Arial"/>
        </w:rPr>
        <w:t>%</w:t>
      </w:r>
    </w:p>
    <w:p w14:paraId="4A5147C9" w14:textId="77777777" w:rsidR="00F11397" w:rsidRDefault="0063497B" w:rsidP="00A0149D">
      <w:pPr>
        <w:pStyle w:val="ListParagraph"/>
        <w:numPr>
          <w:ilvl w:val="0"/>
          <w:numId w:val="6"/>
        </w:numPr>
        <w:rPr>
          <w:rFonts w:ascii="Arial" w:hAnsi="Arial" w:cs="Arial"/>
        </w:rPr>
      </w:pPr>
      <w:r>
        <w:rPr>
          <w:rFonts w:ascii="Arial" w:hAnsi="Arial" w:cs="Arial"/>
        </w:rPr>
        <w:t>Connecting Northern and Eastern Ontario – 0%</w:t>
      </w:r>
      <w:r w:rsidR="00566CCB">
        <w:rPr>
          <w:rFonts w:ascii="Arial" w:hAnsi="Arial" w:cs="Arial"/>
        </w:rPr>
        <w:br/>
      </w:r>
    </w:p>
    <w:p w14:paraId="462C3C3C" w14:textId="6D7AD819" w:rsidR="00A0149D" w:rsidRPr="00F11397" w:rsidRDefault="00566CCB" w:rsidP="00F11397">
      <w:pPr>
        <w:rPr>
          <w:rFonts w:ascii="Arial" w:hAnsi="Arial" w:cs="Arial"/>
        </w:rPr>
      </w:pPr>
      <w:r w:rsidRPr="00F11397">
        <w:rPr>
          <w:rFonts w:ascii="Arial" w:hAnsi="Arial" w:cs="Arial"/>
          <w:sz w:val="40"/>
          <w:szCs w:val="40"/>
        </w:rPr>
        <w:t>Total: $1.</w:t>
      </w:r>
      <w:r w:rsidR="00F11397">
        <w:rPr>
          <w:rFonts w:ascii="Arial" w:hAnsi="Arial" w:cs="Arial"/>
          <w:sz w:val="40"/>
          <w:szCs w:val="40"/>
        </w:rPr>
        <w:t>388</w:t>
      </w:r>
      <w:r w:rsidR="003042E1" w:rsidRPr="00F11397">
        <w:rPr>
          <w:rFonts w:ascii="Arial" w:hAnsi="Arial" w:cs="Arial"/>
          <w:sz w:val="40"/>
          <w:szCs w:val="40"/>
        </w:rPr>
        <w:t>M</w:t>
      </w:r>
    </w:p>
    <w:p w14:paraId="03A4AB32" w14:textId="7211E5A7" w:rsidR="001175FF" w:rsidRDefault="001175FF" w:rsidP="00487A7C">
      <w:pPr>
        <w:pStyle w:val="Heading4"/>
      </w:pPr>
    </w:p>
    <w:p w14:paraId="3AFAFA9F" w14:textId="77777777" w:rsidR="00487A7C" w:rsidRPr="00487A7C" w:rsidRDefault="00487A7C" w:rsidP="00487A7C"/>
    <w:p w14:paraId="1990CDC9" w14:textId="589267CB" w:rsidR="00AD39DF" w:rsidRPr="00B21BA2" w:rsidRDefault="001175FF" w:rsidP="00B21BA2">
      <w:pPr>
        <w:pStyle w:val="Heading4"/>
      </w:pPr>
      <w:r>
        <w:lastRenderedPageBreak/>
        <w:br/>
      </w:r>
      <w:r w:rsidR="00AD39DF" w:rsidRPr="00B21BA2">
        <w:t>Ottawa Hospital Research Institute</w:t>
      </w:r>
    </w:p>
    <w:p w14:paraId="521800E2" w14:textId="00D75FB2" w:rsidR="00AD39DF" w:rsidRPr="000351C1" w:rsidRDefault="00AD39DF" w:rsidP="00A96557">
      <w:pPr>
        <w:pStyle w:val="Heading3"/>
        <w:rPr>
          <w:rFonts w:ascii="Arial" w:hAnsi="Arial" w:cs="Arial"/>
        </w:rPr>
      </w:pPr>
      <w:r w:rsidRPr="000351C1">
        <w:rPr>
          <w:rFonts w:ascii="Arial" w:hAnsi="Arial" w:cs="Arial"/>
        </w:rPr>
        <w:t>Revenue distribution 20</w:t>
      </w:r>
      <w:r w:rsidR="00252003">
        <w:rPr>
          <w:rFonts w:ascii="Arial" w:hAnsi="Arial" w:cs="Arial"/>
        </w:rPr>
        <w:t>1</w:t>
      </w:r>
      <w:r w:rsidR="00487A7C">
        <w:rPr>
          <w:rFonts w:ascii="Arial" w:hAnsi="Arial" w:cs="Arial"/>
        </w:rPr>
        <w:t>8</w:t>
      </w:r>
      <w:r w:rsidRPr="000351C1">
        <w:rPr>
          <w:rFonts w:ascii="Arial" w:hAnsi="Arial" w:cs="Arial"/>
        </w:rPr>
        <w:t>-20</w:t>
      </w:r>
      <w:r w:rsidR="00487A7C">
        <w:rPr>
          <w:rFonts w:ascii="Arial" w:hAnsi="Arial" w:cs="Arial"/>
        </w:rPr>
        <w:t>19</w:t>
      </w:r>
    </w:p>
    <w:p w14:paraId="120F9931" w14:textId="5E12F446" w:rsidR="00AD39DF" w:rsidRDefault="00AD39DF" w:rsidP="00913E7D">
      <w:pPr>
        <w:pStyle w:val="ListParagraph"/>
        <w:numPr>
          <w:ilvl w:val="0"/>
          <w:numId w:val="7"/>
        </w:numPr>
        <w:rPr>
          <w:rFonts w:ascii="Arial" w:hAnsi="Arial" w:cs="Arial"/>
        </w:rPr>
      </w:pPr>
      <w:r w:rsidRPr="000351C1">
        <w:rPr>
          <w:rFonts w:ascii="Arial" w:hAnsi="Arial" w:cs="Arial"/>
        </w:rPr>
        <w:t xml:space="preserve">External grants, contracts, and salary awards – </w:t>
      </w:r>
      <w:r w:rsidR="00CE1479">
        <w:rPr>
          <w:rFonts w:ascii="Arial" w:hAnsi="Arial" w:cs="Arial"/>
        </w:rPr>
        <w:t>7</w:t>
      </w:r>
      <w:r w:rsidR="00487A7C">
        <w:rPr>
          <w:rFonts w:ascii="Arial" w:hAnsi="Arial" w:cs="Arial"/>
        </w:rPr>
        <w:t>3</w:t>
      </w:r>
      <w:r w:rsidRPr="000351C1">
        <w:rPr>
          <w:rFonts w:ascii="Arial" w:hAnsi="Arial" w:cs="Arial"/>
        </w:rPr>
        <w:t>%</w:t>
      </w:r>
    </w:p>
    <w:p w14:paraId="0B316502" w14:textId="509A9E0A" w:rsidR="001F6C2F" w:rsidRPr="00913E7D" w:rsidRDefault="001F6C2F" w:rsidP="001F6C2F">
      <w:pPr>
        <w:pStyle w:val="ListParagraph"/>
        <w:numPr>
          <w:ilvl w:val="0"/>
          <w:numId w:val="7"/>
        </w:numPr>
        <w:rPr>
          <w:rFonts w:ascii="Arial" w:hAnsi="Arial" w:cs="Arial"/>
        </w:rPr>
      </w:pPr>
      <w:r w:rsidRPr="000351C1">
        <w:rPr>
          <w:rFonts w:ascii="Arial" w:hAnsi="Arial" w:cs="Arial"/>
        </w:rPr>
        <w:t xml:space="preserve">Indirect cost and investment income – </w:t>
      </w:r>
      <w:r>
        <w:rPr>
          <w:rFonts w:ascii="Arial" w:hAnsi="Arial" w:cs="Arial"/>
        </w:rPr>
        <w:t>11</w:t>
      </w:r>
      <w:r w:rsidRPr="000351C1">
        <w:rPr>
          <w:rFonts w:ascii="Arial" w:hAnsi="Arial" w:cs="Arial"/>
        </w:rPr>
        <w:t>%</w:t>
      </w:r>
    </w:p>
    <w:p w14:paraId="497FEF98" w14:textId="3D1EBBAA" w:rsidR="00AD39DF" w:rsidRPr="001F6C2F" w:rsidRDefault="00AD39DF" w:rsidP="001F6C2F">
      <w:pPr>
        <w:pStyle w:val="ListParagraph"/>
        <w:numPr>
          <w:ilvl w:val="0"/>
          <w:numId w:val="7"/>
        </w:numPr>
        <w:rPr>
          <w:rFonts w:ascii="Arial" w:hAnsi="Arial" w:cs="Arial"/>
        </w:rPr>
      </w:pPr>
      <w:r w:rsidRPr="001F6C2F">
        <w:rPr>
          <w:rFonts w:ascii="Arial" w:hAnsi="Arial" w:cs="Arial"/>
        </w:rPr>
        <w:t xml:space="preserve">The Ottawa Hospital Foundation – </w:t>
      </w:r>
      <w:r w:rsidR="00913E7D" w:rsidRPr="001F6C2F">
        <w:rPr>
          <w:rFonts w:ascii="Arial" w:hAnsi="Arial" w:cs="Arial"/>
        </w:rPr>
        <w:t>9</w:t>
      </w:r>
      <w:r w:rsidRPr="001F6C2F">
        <w:rPr>
          <w:rFonts w:ascii="Arial" w:hAnsi="Arial" w:cs="Arial"/>
        </w:rPr>
        <w:t>%</w:t>
      </w:r>
    </w:p>
    <w:p w14:paraId="27C7088F" w14:textId="03B205F4" w:rsidR="00913E7D" w:rsidRPr="001F6C2F" w:rsidRDefault="00AD39DF" w:rsidP="001F6C2F">
      <w:pPr>
        <w:pStyle w:val="ListParagraph"/>
        <w:numPr>
          <w:ilvl w:val="0"/>
          <w:numId w:val="7"/>
        </w:numPr>
        <w:rPr>
          <w:rFonts w:ascii="Arial" w:hAnsi="Arial" w:cs="Arial"/>
        </w:rPr>
      </w:pPr>
      <w:r w:rsidRPr="000351C1">
        <w:rPr>
          <w:rFonts w:ascii="Arial" w:hAnsi="Arial" w:cs="Arial"/>
        </w:rPr>
        <w:t xml:space="preserve">The Ottawa Hospital – </w:t>
      </w:r>
      <w:r w:rsidR="001F6C2F">
        <w:rPr>
          <w:rFonts w:ascii="Arial" w:hAnsi="Arial" w:cs="Arial"/>
        </w:rPr>
        <w:t>6</w:t>
      </w:r>
      <w:r w:rsidRPr="000351C1">
        <w:rPr>
          <w:rFonts w:ascii="Arial" w:hAnsi="Arial" w:cs="Arial"/>
        </w:rPr>
        <w:t>%</w:t>
      </w:r>
    </w:p>
    <w:p w14:paraId="5787AA14" w14:textId="20D158B4" w:rsidR="00AD39DF" w:rsidRPr="000351C1" w:rsidRDefault="00AD39DF" w:rsidP="00AD39DF">
      <w:pPr>
        <w:pStyle w:val="ListParagraph"/>
        <w:numPr>
          <w:ilvl w:val="0"/>
          <w:numId w:val="7"/>
        </w:numPr>
        <w:rPr>
          <w:rFonts w:ascii="Arial" w:hAnsi="Arial" w:cs="Arial"/>
        </w:rPr>
      </w:pPr>
      <w:r w:rsidRPr="000351C1">
        <w:rPr>
          <w:rFonts w:ascii="Arial" w:hAnsi="Arial" w:cs="Arial"/>
        </w:rPr>
        <w:t>University of Ottawa – 1%</w:t>
      </w:r>
    </w:p>
    <w:p w14:paraId="56CBE670" w14:textId="1BDE1678" w:rsidR="00AD39DF" w:rsidRPr="000351C1" w:rsidRDefault="00AD39DF" w:rsidP="00B21BA2">
      <w:pPr>
        <w:pStyle w:val="Heading4"/>
      </w:pPr>
      <w:r w:rsidRPr="000351C1">
        <w:t>Total: $1</w:t>
      </w:r>
      <w:r w:rsidR="001F6C2F">
        <w:t>24</w:t>
      </w:r>
      <w:r w:rsidR="00BF4D38">
        <w:t>.</w:t>
      </w:r>
      <w:r w:rsidR="00341949">
        <w:t>4</w:t>
      </w:r>
      <w:r w:rsidRPr="000351C1">
        <w:t>M</w:t>
      </w:r>
      <w:r w:rsidR="0067184A">
        <w:br/>
      </w:r>
    </w:p>
    <w:p w14:paraId="4F8BB50B" w14:textId="4385C2BE" w:rsidR="00AD39DF" w:rsidRPr="000351C1" w:rsidRDefault="00A96557" w:rsidP="00A96557">
      <w:pPr>
        <w:pStyle w:val="Heading3"/>
        <w:rPr>
          <w:rFonts w:ascii="Arial" w:hAnsi="Arial" w:cs="Arial"/>
        </w:rPr>
      </w:pPr>
      <w:r w:rsidRPr="000351C1">
        <w:rPr>
          <w:rFonts w:ascii="Arial" w:hAnsi="Arial" w:cs="Arial"/>
        </w:rPr>
        <w:t>Expenditure distribution 20</w:t>
      </w:r>
      <w:r w:rsidR="00792EFA">
        <w:rPr>
          <w:rFonts w:ascii="Arial" w:hAnsi="Arial" w:cs="Arial"/>
        </w:rPr>
        <w:t>1</w:t>
      </w:r>
      <w:r w:rsidR="00341949">
        <w:rPr>
          <w:rFonts w:ascii="Arial" w:hAnsi="Arial" w:cs="Arial"/>
        </w:rPr>
        <w:t>8</w:t>
      </w:r>
      <w:r w:rsidRPr="000351C1">
        <w:rPr>
          <w:rFonts w:ascii="Arial" w:hAnsi="Arial" w:cs="Arial"/>
        </w:rPr>
        <w:t>-20</w:t>
      </w:r>
      <w:r w:rsidR="00341949">
        <w:rPr>
          <w:rFonts w:ascii="Arial" w:hAnsi="Arial" w:cs="Arial"/>
        </w:rPr>
        <w:t>19</w:t>
      </w:r>
    </w:p>
    <w:p w14:paraId="7019EEF0" w14:textId="41E43308"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Research project expenses – </w:t>
      </w:r>
      <w:r w:rsidR="00792EFA">
        <w:rPr>
          <w:rFonts w:ascii="Arial" w:hAnsi="Arial" w:cs="Arial"/>
        </w:rPr>
        <w:t>72</w:t>
      </w:r>
      <w:r w:rsidRPr="000351C1">
        <w:rPr>
          <w:rFonts w:ascii="Arial" w:hAnsi="Arial" w:cs="Arial"/>
        </w:rPr>
        <w:t>%</w:t>
      </w:r>
    </w:p>
    <w:p w14:paraId="2D5BE20C" w14:textId="1D3A675C" w:rsidR="00A96557" w:rsidRPr="000351C1" w:rsidRDefault="00A96557" w:rsidP="00A96557">
      <w:pPr>
        <w:pStyle w:val="ListParagraph"/>
        <w:numPr>
          <w:ilvl w:val="0"/>
          <w:numId w:val="8"/>
        </w:numPr>
        <w:rPr>
          <w:rFonts w:ascii="Arial" w:hAnsi="Arial" w:cs="Arial"/>
        </w:rPr>
      </w:pPr>
      <w:r w:rsidRPr="000351C1">
        <w:rPr>
          <w:rFonts w:ascii="Arial" w:hAnsi="Arial" w:cs="Arial"/>
        </w:rPr>
        <w:t>Scientific salaries – 1</w:t>
      </w:r>
      <w:r w:rsidR="00341949">
        <w:rPr>
          <w:rFonts w:ascii="Arial" w:hAnsi="Arial" w:cs="Arial"/>
        </w:rPr>
        <w:t>7</w:t>
      </w:r>
      <w:r w:rsidRPr="000351C1">
        <w:rPr>
          <w:rFonts w:ascii="Arial" w:hAnsi="Arial" w:cs="Arial"/>
        </w:rPr>
        <w:t>%</w:t>
      </w:r>
    </w:p>
    <w:p w14:paraId="67EE8394" w14:textId="4E721954"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Other research expenses – </w:t>
      </w:r>
      <w:r w:rsidR="00341949">
        <w:rPr>
          <w:rFonts w:ascii="Arial" w:hAnsi="Arial" w:cs="Arial"/>
        </w:rPr>
        <w:t>4</w:t>
      </w:r>
      <w:r w:rsidRPr="000351C1">
        <w:rPr>
          <w:rFonts w:ascii="Arial" w:hAnsi="Arial" w:cs="Arial"/>
        </w:rPr>
        <w:t>%</w:t>
      </w:r>
    </w:p>
    <w:p w14:paraId="1E514789" w14:textId="47E05A54"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Administrative expenses – </w:t>
      </w:r>
      <w:r w:rsidR="001E6D26">
        <w:rPr>
          <w:rFonts w:ascii="Arial" w:hAnsi="Arial" w:cs="Arial"/>
        </w:rPr>
        <w:t>4</w:t>
      </w:r>
      <w:r w:rsidRPr="000351C1">
        <w:rPr>
          <w:rFonts w:ascii="Arial" w:hAnsi="Arial" w:cs="Arial"/>
        </w:rPr>
        <w:t>%</w:t>
      </w:r>
    </w:p>
    <w:p w14:paraId="535BA7E9" w14:textId="095660EE"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Amortization of capital assets – </w:t>
      </w:r>
      <w:r w:rsidR="009018F4">
        <w:rPr>
          <w:rFonts w:ascii="Arial" w:hAnsi="Arial" w:cs="Arial"/>
        </w:rPr>
        <w:t>3</w:t>
      </w:r>
      <w:r w:rsidRPr="000351C1">
        <w:rPr>
          <w:rFonts w:ascii="Arial" w:hAnsi="Arial" w:cs="Arial"/>
        </w:rPr>
        <w:t>%</w:t>
      </w:r>
    </w:p>
    <w:p w14:paraId="0FA10960" w14:textId="5768E979" w:rsidR="00EF2911" w:rsidRDefault="00A96557" w:rsidP="00B21BA2">
      <w:pPr>
        <w:pStyle w:val="Heading4"/>
      </w:pPr>
      <w:r w:rsidRPr="000351C1">
        <w:t>Total: $1</w:t>
      </w:r>
      <w:r w:rsidR="00EB6DB5">
        <w:t>1</w:t>
      </w:r>
      <w:r w:rsidR="00341949">
        <w:t>9</w:t>
      </w:r>
      <w:r w:rsidR="001E6D26">
        <w:t>.</w:t>
      </w:r>
      <w:r w:rsidR="00341949">
        <w:t>2</w:t>
      </w:r>
      <w:r w:rsidRPr="000351C1">
        <w:t>M</w:t>
      </w:r>
      <w:r w:rsidR="004C3EEB">
        <w:br/>
      </w:r>
    </w:p>
    <w:p w14:paraId="15DF8D2C" w14:textId="4ACF72D6" w:rsidR="00A96557" w:rsidRPr="00732820" w:rsidRDefault="00A96557" w:rsidP="00732820">
      <w:pPr>
        <w:pStyle w:val="Heading1"/>
        <w:rPr>
          <w:rFonts w:ascii="Arial" w:hAnsi="Arial" w:cs="Arial"/>
          <w:sz w:val="32"/>
        </w:rPr>
      </w:pPr>
      <w:r w:rsidRPr="000351C1">
        <w:t>Top 10 sources of peer-reviewed funding</w:t>
      </w:r>
    </w:p>
    <w:p w14:paraId="1B5D03D3" w14:textId="799FB1C2" w:rsidR="00A96557" w:rsidRDefault="00A96557" w:rsidP="00036AF6">
      <w:pPr>
        <w:pStyle w:val="ListParagraph"/>
        <w:numPr>
          <w:ilvl w:val="0"/>
          <w:numId w:val="9"/>
        </w:numPr>
        <w:rPr>
          <w:rFonts w:ascii="Arial" w:hAnsi="Arial" w:cs="Arial"/>
        </w:rPr>
      </w:pPr>
      <w:r w:rsidRPr="000351C1">
        <w:rPr>
          <w:rFonts w:ascii="Arial" w:hAnsi="Arial" w:cs="Arial"/>
        </w:rPr>
        <w:t>Canadian Institutes of Health Research - $2</w:t>
      </w:r>
      <w:r w:rsidR="00FF1D4F">
        <w:rPr>
          <w:rFonts w:ascii="Arial" w:hAnsi="Arial" w:cs="Arial"/>
        </w:rPr>
        <w:t>2</w:t>
      </w:r>
      <w:r w:rsidR="001E6D26">
        <w:rPr>
          <w:rFonts w:ascii="Arial" w:hAnsi="Arial" w:cs="Arial"/>
        </w:rPr>
        <w:t>.</w:t>
      </w:r>
      <w:r w:rsidR="00FF1D4F">
        <w:rPr>
          <w:rFonts w:ascii="Arial" w:hAnsi="Arial" w:cs="Arial"/>
        </w:rPr>
        <w:t>71</w:t>
      </w:r>
      <w:r w:rsidRPr="000351C1">
        <w:rPr>
          <w:rFonts w:ascii="Arial" w:hAnsi="Arial" w:cs="Arial"/>
        </w:rPr>
        <w:t>M</w:t>
      </w:r>
    </w:p>
    <w:p w14:paraId="274214F7" w14:textId="5D9A16D4" w:rsidR="00FF1D4F" w:rsidRDefault="00FF1D4F" w:rsidP="00036AF6">
      <w:pPr>
        <w:pStyle w:val="ListParagraph"/>
        <w:numPr>
          <w:ilvl w:val="0"/>
          <w:numId w:val="9"/>
        </w:numPr>
        <w:rPr>
          <w:rFonts w:ascii="Arial" w:hAnsi="Arial" w:cs="Arial"/>
        </w:rPr>
      </w:pPr>
      <w:r>
        <w:rPr>
          <w:rFonts w:ascii="Arial" w:hAnsi="Arial" w:cs="Arial"/>
        </w:rPr>
        <w:t>Ontario Research Fund - $2.32M</w:t>
      </w:r>
    </w:p>
    <w:p w14:paraId="265DD997" w14:textId="3890CADA" w:rsidR="00CF655B" w:rsidRDefault="00CF655B" w:rsidP="00CF655B">
      <w:pPr>
        <w:pStyle w:val="ListParagraph"/>
        <w:numPr>
          <w:ilvl w:val="0"/>
          <w:numId w:val="9"/>
        </w:numPr>
        <w:rPr>
          <w:rFonts w:ascii="Arial" w:hAnsi="Arial" w:cs="Arial"/>
        </w:rPr>
      </w:pPr>
      <w:r w:rsidRPr="00A74A9B">
        <w:rPr>
          <w:rFonts w:ascii="Arial" w:hAnsi="Arial" w:cs="Arial"/>
        </w:rPr>
        <w:t>Ontario Institute for Cancer Research (OICR) - $</w:t>
      </w:r>
      <w:r>
        <w:rPr>
          <w:rFonts w:ascii="Arial" w:hAnsi="Arial" w:cs="Arial"/>
        </w:rPr>
        <w:t>1.84</w:t>
      </w:r>
      <w:r w:rsidRPr="00A74A9B">
        <w:rPr>
          <w:rFonts w:ascii="Arial" w:hAnsi="Arial" w:cs="Arial"/>
        </w:rPr>
        <w:t>M</w:t>
      </w:r>
    </w:p>
    <w:p w14:paraId="2B1E9E4D" w14:textId="7138BC1D" w:rsidR="00DF5D5E" w:rsidRDefault="00DF5D5E" w:rsidP="00DF5D5E">
      <w:pPr>
        <w:pStyle w:val="ListParagraph"/>
        <w:numPr>
          <w:ilvl w:val="0"/>
          <w:numId w:val="9"/>
        </w:numPr>
        <w:rPr>
          <w:rFonts w:ascii="Arial" w:hAnsi="Arial" w:cs="Arial"/>
        </w:rPr>
      </w:pPr>
      <w:r w:rsidRPr="000351C1">
        <w:rPr>
          <w:rFonts w:ascii="Arial" w:hAnsi="Arial" w:cs="Arial"/>
        </w:rPr>
        <w:t>The Ottawa Hospital Academic Medical Organization - $</w:t>
      </w:r>
      <w:r>
        <w:rPr>
          <w:rFonts w:ascii="Arial" w:hAnsi="Arial" w:cs="Arial"/>
        </w:rPr>
        <w:t>1.55</w:t>
      </w:r>
      <w:r w:rsidRPr="000351C1">
        <w:rPr>
          <w:rFonts w:ascii="Arial" w:hAnsi="Arial" w:cs="Arial"/>
        </w:rPr>
        <w:t>M</w:t>
      </w:r>
    </w:p>
    <w:p w14:paraId="5206C62F" w14:textId="7C1469A7" w:rsidR="00DF5D5E" w:rsidRPr="00A43FDA" w:rsidRDefault="00DF5D5E" w:rsidP="00DF5D5E">
      <w:pPr>
        <w:pStyle w:val="ListParagraph"/>
        <w:numPr>
          <w:ilvl w:val="0"/>
          <w:numId w:val="9"/>
        </w:numPr>
        <w:rPr>
          <w:rFonts w:ascii="Arial" w:hAnsi="Arial" w:cs="Arial"/>
        </w:rPr>
      </w:pPr>
      <w:r w:rsidRPr="000351C1">
        <w:rPr>
          <w:rFonts w:ascii="Arial" w:hAnsi="Arial" w:cs="Arial"/>
        </w:rPr>
        <w:t>Ontario Ministry of Health</w:t>
      </w:r>
      <w:r>
        <w:rPr>
          <w:rFonts w:ascii="Arial" w:hAnsi="Arial" w:cs="Arial"/>
        </w:rPr>
        <w:t xml:space="preserve"> and Long-Term Care</w:t>
      </w:r>
      <w:r w:rsidRPr="000351C1">
        <w:rPr>
          <w:rFonts w:ascii="Arial" w:hAnsi="Arial" w:cs="Arial"/>
        </w:rPr>
        <w:t xml:space="preserve"> - $1.</w:t>
      </w:r>
      <w:r>
        <w:rPr>
          <w:rFonts w:ascii="Arial" w:hAnsi="Arial" w:cs="Arial"/>
        </w:rPr>
        <w:t>53</w:t>
      </w:r>
      <w:r w:rsidRPr="000351C1">
        <w:rPr>
          <w:rFonts w:ascii="Arial" w:hAnsi="Arial" w:cs="Arial"/>
        </w:rPr>
        <w:t>M</w:t>
      </w:r>
    </w:p>
    <w:p w14:paraId="5612B2AF" w14:textId="37DD72AE" w:rsidR="00CF655B" w:rsidRDefault="0041767D" w:rsidP="00036AF6">
      <w:pPr>
        <w:pStyle w:val="ListParagraph"/>
        <w:numPr>
          <w:ilvl w:val="0"/>
          <w:numId w:val="9"/>
        </w:numPr>
        <w:rPr>
          <w:rFonts w:ascii="Arial" w:hAnsi="Arial" w:cs="Arial"/>
        </w:rPr>
      </w:pPr>
      <w:r>
        <w:rPr>
          <w:rFonts w:ascii="Arial" w:hAnsi="Arial" w:cs="Arial"/>
        </w:rPr>
        <w:t>Public Health Agency of Canada - $1.40M</w:t>
      </w:r>
    </w:p>
    <w:p w14:paraId="7796FE20" w14:textId="2E477D21" w:rsidR="00E83C11" w:rsidRPr="00E83C11" w:rsidRDefault="00E83C11" w:rsidP="00E83C11">
      <w:pPr>
        <w:pStyle w:val="ListParagraph"/>
        <w:numPr>
          <w:ilvl w:val="0"/>
          <w:numId w:val="9"/>
        </w:numPr>
        <w:rPr>
          <w:rFonts w:ascii="Arial" w:hAnsi="Arial" w:cs="Arial"/>
        </w:rPr>
      </w:pPr>
      <w:r w:rsidRPr="00CE1EF7">
        <w:rPr>
          <w:rFonts w:ascii="Arial" w:hAnsi="Arial" w:cs="Arial"/>
        </w:rPr>
        <w:t>Canada Foundation for Innovation - $</w:t>
      </w:r>
      <w:r>
        <w:rPr>
          <w:rFonts w:ascii="Arial" w:hAnsi="Arial" w:cs="Arial"/>
        </w:rPr>
        <w:t>1.21</w:t>
      </w:r>
      <w:r w:rsidRPr="00CE1EF7">
        <w:rPr>
          <w:rFonts w:ascii="Arial" w:hAnsi="Arial" w:cs="Arial"/>
        </w:rPr>
        <w:t>M</w:t>
      </w:r>
    </w:p>
    <w:p w14:paraId="0D96B9BA" w14:textId="50A2F05F" w:rsidR="00CE1EF7" w:rsidRDefault="00CE1EF7" w:rsidP="00CE1EF7">
      <w:pPr>
        <w:pStyle w:val="ListParagraph"/>
        <w:numPr>
          <w:ilvl w:val="0"/>
          <w:numId w:val="9"/>
        </w:numPr>
        <w:rPr>
          <w:rFonts w:ascii="Arial" w:hAnsi="Arial" w:cs="Arial"/>
        </w:rPr>
      </w:pPr>
      <w:r>
        <w:rPr>
          <w:rFonts w:ascii="Arial" w:hAnsi="Arial" w:cs="Arial"/>
        </w:rPr>
        <w:t>Heart and Stroke Foundation of Canada - $1.1</w:t>
      </w:r>
      <w:r w:rsidR="00E83C11">
        <w:rPr>
          <w:rFonts w:ascii="Arial" w:hAnsi="Arial" w:cs="Arial"/>
        </w:rPr>
        <w:t>9</w:t>
      </w:r>
      <w:r>
        <w:rPr>
          <w:rFonts w:ascii="Arial" w:hAnsi="Arial" w:cs="Arial"/>
        </w:rPr>
        <w:t>M</w:t>
      </w:r>
    </w:p>
    <w:p w14:paraId="2455D3F8" w14:textId="3D5CB14C" w:rsidR="00941F74" w:rsidRPr="00CE1EF7" w:rsidRDefault="00EA7079" w:rsidP="00CE1EF7">
      <w:pPr>
        <w:pStyle w:val="ListParagraph"/>
        <w:numPr>
          <w:ilvl w:val="0"/>
          <w:numId w:val="9"/>
        </w:numPr>
        <w:rPr>
          <w:rFonts w:ascii="Arial" w:hAnsi="Arial" w:cs="Arial"/>
        </w:rPr>
      </w:pPr>
      <w:r w:rsidRPr="00CE1EF7">
        <w:rPr>
          <w:rFonts w:ascii="Arial" w:hAnsi="Arial" w:cs="Arial"/>
        </w:rPr>
        <w:t>Canada Foundation for Innovation - $</w:t>
      </w:r>
      <w:r w:rsidR="00736B30">
        <w:rPr>
          <w:rFonts w:ascii="Arial" w:hAnsi="Arial" w:cs="Arial"/>
        </w:rPr>
        <w:t>1.</w:t>
      </w:r>
      <w:r w:rsidR="00721935">
        <w:rPr>
          <w:rFonts w:ascii="Arial" w:hAnsi="Arial" w:cs="Arial"/>
        </w:rPr>
        <w:t>21</w:t>
      </w:r>
      <w:r w:rsidRPr="00CE1EF7">
        <w:rPr>
          <w:rFonts w:ascii="Arial" w:hAnsi="Arial" w:cs="Arial"/>
        </w:rPr>
        <w:t>M</w:t>
      </w:r>
    </w:p>
    <w:p w14:paraId="53D23D89" w14:textId="74490C73" w:rsidR="00742255" w:rsidRPr="00243772" w:rsidRDefault="00721935" w:rsidP="00243772">
      <w:pPr>
        <w:pStyle w:val="ListParagraph"/>
        <w:numPr>
          <w:ilvl w:val="0"/>
          <w:numId w:val="9"/>
        </w:numPr>
        <w:rPr>
          <w:rFonts w:ascii="Arial" w:hAnsi="Arial" w:cs="Arial"/>
        </w:rPr>
      </w:pPr>
      <w:r>
        <w:rPr>
          <w:rFonts w:ascii="Arial" w:hAnsi="Arial" w:cs="Arial"/>
        </w:rPr>
        <w:t>Stem Cell Network - $</w:t>
      </w:r>
      <w:r w:rsidR="00243772">
        <w:rPr>
          <w:rFonts w:ascii="Arial" w:hAnsi="Arial" w:cs="Arial"/>
        </w:rPr>
        <w:t>1.12M</w:t>
      </w:r>
    </w:p>
    <w:p w14:paraId="003011A6" w14:textId="77777777" w:rsidR="00AD39DF" w:rsidRPr="000351C1" w:rsidRDefault="00AD39DF" w:rsidP="00AD39DF">
      <w:pPr>
        <w:rPr>
          <w:rFonts w:ascii="Arial" w:hAnsi="Arial" w:cs="Arial"/>
        </w:rPr>
      </w:pPr>
    </w:p>
    <w:sectPr w:rsidR="00AD39DF" w:rsidRPr="000351C1" w:rsidSect="008F7AAE">
      <w:headerReference w:type="default" r:id="rId18"/>
      <w:foot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ABCB" w14:textId="77777777" w:rsidR="008467C0" w:rsidRDefault="008467C0" w:rsidP="007002E3">
      <w:pPr>
        <w:spacing w:after="0" w:line="240" w:lineRule="auto"/>
      </w:pPr>
      <w:r>
        <w:separator/>
      </w:r>
    </w:p>
  </w:endnote>
  <w:endnote w:type="continuationSeparator" w:id="0">
    <w:p w14:paraId="0B7ADB32" w14:textId="77777777" w:rsidR="008467C0" w:rsidRDefault="008467C0" w:rsidP="0070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1E8E" w14:textId="22BBF0CF" w:rsidR="008F7AAE" w:rsidRDefault="008F7AAE">
    <w:pPr>
      <w:pStyle w:val="Footer"/>
    </w:pPr>
    <w:r>
      <w:rPr>
        <w:noProof/>
      </w:rPr>
      <w:drawing>
        <wp:inline distT="0" distB="0" distL="0" distR="0" wp14:anchorId="1F11FA49" wp14:editId="0043E0DA">
          <wp:extent cx="2924175" cy="783042"/>
          <wp:effectExtent l="0" t="0" r="0" b="0"/>
          <wp:docPr id="1296274459" name="Picture 8" descr="The Ottawa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74459" name="Picture 8" descr="The Ottawa Hospital Logo"/>
                  <pic:cNvPicPr/>
                </pic:nvPicPr>
                <pic:blipFill>
                  <a:blip r:embed="rId1">
                    <a:extLst>
                      <a:ext uri="{28A0092B-C50C-407E-A947-70E740481C1C}">
                        <a14:useLocalDpi xmlns:a14="http://schemas.microsoft.com/office/drawing/2010/main" val="0"/>
                      </a:ext>
                    </a:extLst>
                  </a:blip>
                  <a:stretch>
                    <a:fillRect/>
                  </a:stretch>
                </pic:blipFill>
                <pic:spPr>
                  <a:xfrm>
                    <a:off x="0" y="0"/>
                    <a:ext cx="2924175" cy="783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20E8" w14:textId="77777777" w:rsidR="008467C0" w:rsidRDefault="008467C0" w:rsidP="007002E3">
      <w:pPr>
        <w:spacing w:after="0" w:line="240" w:lineRule="auto"/>
      </w:pPr>
      <w:r>
        <w:separator/>
      </w:r>
    </w:p>
  </w:footnote>
  <w:footnote w:type="continuationSeparator" w:id="0">
    <w:p w14:paraId="7AF47932" w14:textId="77777777" w:rsidR="008467C0" w:rsidRDefault="008467C0" w:rsidP="0070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754" w14:textId="21FAB1F7" w:rsidR="00B623AF" w:rsidRDefault="00B623AF" w:rsidP="00A0149D">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7E"/>
    <w:multiLevelType w:val="hybridMultilevel"/>
    <w:tmpl w:val="77DA71FE"/>
    <w:lvl w:ilvl="0" w:tplc="95F0A084">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196AB1"/>
    <w:multiLevelType w:val="multilevel"/>
    <w:tmpl w:val="8C4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D65DD"/>
    <w:multiLevelType w:val="multilevel"/>
    <w:tmpl w:val="2DB4D5DE"/>
    <w:lvl w:ilvl="0">
      <w:start w:val="2019"/>
      <w:numFmt w:val="decimal"/>
      <w:lvlText w:val="%1"/>
      <w:lvlJc w:val="left"/>
      <w:pPr>
        <w:ind w:left="1120" w:hanging="1120"/>
      </w:pPr>
      <w:rPr>
        <w:rFonts w:hint="default"/>
        <w:b/>
      </w:rPr>
    </w:lvl>
    <w:lvl w:ilvl="1">
      <w:start w:val="2020"/>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EF6151D"/>
    <w:multiLevelType w:val="multilevel"/>
    <w:tmpl w:val="4F9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76C55"/>
    <w:multiLevelType w:val="hybridMultilevel"/>
    <w:tmpl w:val="5C580D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173FB4"/>
    <w:multiLevelType w:val="multilevel"/>
    <w:tmpl w:val="D8560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63DFC"/>
    <w:multiLevelType w:val="multilevel"/>
    <w:tmpl w:val="65B68124"/>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E75161"/>
    <w:multiLevelType w:val="multilevel"/>
    <w:tmpl w:val="72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23486"/>
    <w:multiLevelType w:val="hybridMultilevel"/>
    <w:tmpl w:val="45FA19B0"/>
    <w:lvl w:ilvl="0" w:tplc="4B988942">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9805D26"/>
    <w:multiLevelType w:val="hybridMultilevel"/>
    <w:tmpl w:val="5486EDD6"/>
    <w:lvl w:ilvl="0" w:tplc="B1E054D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AFE7A76"/>
    <w:multiLevelType w:val="hybridMultilevel"/>
    <w:tmpl w:val="8A38E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7B2DE9"/>
    <w:multiLevelType w:val="hybridMultilevel"/>
    <w:tmpl w:val="4DC4C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6411F2"/>
    <w:multiLevelType w:val="hybridMultilevel"/>
    <w:tmpl w:val="2D36D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416819"/>
    <w:multiLevelType w:val="multilevel"/>
    <w:tmpl w:val="B94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A16BC"/>
    <w:multiLevelType w:val="hybridMultilevel"/>
    <w:tmpl w:val="4CFCE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A24203"/>
    <w:multiLevelType w:val="hybridMultilevel"/>
    <w:tmpl w:val="3F68F618"/>
    <w:lvl w:ilvl="0" w:tplc="A5DA1F18">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3BF30F4"/>
    <w:multiLevelType w:val="hybridMultilevel"/>
    <w:tmpl w:val="F80EE2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906538"/>
    <w:multiLevelType w:val="multilevel"/>
    <w:tmpl w:val="C10A2D66"/>
    <w:lvl w:ilvl="0">
      <w:start w:val="2018"/>
      <w:numFmt w:val="decimal"/>
      <w:lvlText w:val="%1"/>
      <w:lvlJc w:val="left"/>
      <w:pPr>
        <w:ind w:left="1120" w:hanging="1120"/>
      </w:pPr>
      <w:rPr>
        <w:rFonts w:hint="default"/>
        <w:b/>
      </w:rPr>
    </w:lvl>
    <w:lvl w:ilvl="1">
      <w:start w:val="2019"/>
      <w:numFmt w:val="decimal"/>
      <w:lvlText w:val="%1-%2"/>
      <w:lvlJc w:val="left"/>
      <w:pPr>
        <w:ind w:left="1120" w:hanging="1120"/>
      </w:pPr>
      <w:rPr>
        <w:rFonts w:hint="default"/>
        <w:b/>
      </w:rPr>
    </w:lvl>
    <w:lvl w:ilvl="2">
      <w:start w:val="1"/>
      <w:numFmt w:val="decimal"/>
      <w:lvlText w:val="%1-%2.%3"/>
      <w:lvlJc w:val="left"/>
      <w:pPr>
        <w:ind w:left="1120" w:hanging="1120"/>
      </w:pPr>
      <w:rPr>
        <w:rFonts w:hint="default"/>
        <w:b/>
      </w:rPr>
    </w:lvl>
    <w:lvl w:ilvl="3">
      <w:start w:val="1"/>
      <w:numFmt w:val="decimal"/>
      <w:lvlText w:val="%1-%2.%3.%4"/>
      <w:lvlJc w:val="left"/>
      <w:pPr>
        <w:ind w:left="1120" w:hanging="1120"/>
      </w:pPr>
      <w:rPr>
        <w:rFonts w:hint="default"/>
        <w:b/>
      </w:rPr>
    </w:lvl>
    <w:lvl w:ilvl="4">
      <w:start w:val="1"/>
      <w:numFmt w:val="decimal"/>
      <w:lvlText w:val="%1-%2.%3.%4.%5"/>
      <w:lvlJc w:val="left"/>
      <w:pPr>
        <w:ind w:left="1120" w:hanging="112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B3F6EBE"/>
    <w:multiLevelType w:val="multilevel"/>
    <w:tmpl w:val="DFE4B466"/>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836C0C"/>
    <w:multiLevelType w:val="hybridMultilevel"/>
    <w:tmpl w:val="A1061084"/>
    <w:lvl w:ilvl="0" w:tplc="E8A22EC4">
      <w:start w:val="2020"/>
      <w:numFmt w:val="bullet"/>
      <w:lvlText w:val="-"/>
      <w:lvlJc w:val="left"/>
      <w:pPr>
        <w:ind w:left="1090" w:hanging="360"/>
      </w:pPr>
      <w:rPr>
        <w:rFonts w:ascii="Aptos" w:eastAsiaTheme="minorHAnsi" w:hAnsi="Aptos" w:cstheme="minorBidi"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20" w15:restartNumberingAfterBreak="0">
    <w:nsid w:val="51FB5CFB"/>
    <w:multiLevelType w:val="hybridMultilevel"/>
    <w:tmpl w:val="AAC83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3A526E"/>
    <w:multiLevelType w:val="hybridMultilevel"/>
    <w:tmpl w:val="870C65C8"/>
    <w:lvl w:ilvl="0" w:tplc="54E43D7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9B7131F"/>
    <w:multiLevelType w:val="hybridMultilevel"/>
    <w:tmpl w:val="DB6E85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9F1D24"/>
    <w:multiLevelType w:val="multilevel"/>
    <w:tmpl w:val="5106C1F0"/>
    <w:lvl w:ilvl="0">
      <w:start w:val="2019"/>
      <w:numFmt w:val="decimal"/>
      <w:lvlText w:val="%1"/>
      <w:lvlJc w:val="left"/>
      <w:pPr>
        <w:ind w:left="1120" w:hanging="1120"/>
      </w:pPr>
      <w:rPr>
        <w:rFonts w:hint="default"/>
        <w:b/>
      </w:rPr>
    </w:lvl>
    <w:lvl w:ilvl="1">
      <w:start w:val="2020"/>
      <w:numFmt w:val="decimal"/>
      <w:lvlText w:val="%1-%2"/>
      <w:lvlJc w:val="left"/>
      <w:pPr>
        <w:ind w:left="2960" w:hanging="1120"/>
      </w:pPr>
      <w:rPr>
        <w:rFonts w:hint="default"/>
        <w:b/>
      </w:rPr>
    </w:lvl>
    <w:lvl w:ilvl="2">
      <w:start w:val="1"/>
      <w:numFmt w:val="decimal"/>
      <w:lvlText w:val="%1-%2.%3"/>
      <w:lvlJc w:val="left"/>
      <w:pPr>
        <w:ind w:left="4800" w:hanging="1120"/>
      </w:pPr>
      <w:rPr>
        <w:rFonts w:hint="default"/>
        <w:b/>
      </w:rPr>
    </w:lvl>
    <w:lvl w:ilvl="3">
      <w:start w:val="1"/>
      <w:numFmt w:val="decimal"/>
      <w:lvlText w:val="%1-%2.%3.%4"/>
      <w:lvlJc w:val="left"/>
      <w:pPr>
        <w:ind w:left="6640" w:hanging="1120"/>
      </w:pPr>
      <w:rPr>
        <w:rFonts w:hint="default"/>
        <w:b/>
      </w:rPr>
    </w:lvl>
    <w:lvl w:ilvl="4">
      <w:start w:val="1"/>
      <w:numFmt w:val="decimal"/>
      <w:lvlText w:val="%1-%2.%3.%4.%5"/>
      <w:lvlJc w:val="left"/>
      <w:pPr>
        <w:ind w:left="8480" w:hanging="1120"/>
      </w:pPr>
      <w:rPr>
        <w:rFonts w:hint="default"/>
        <w:b/>
      </w:rPr>
    </w:lvl>
    <w:lvl w:ilvl="5">
      <w:start w:val="1"/>
      <w:numFmt w:val="decimal"/>
      <w:lvlText w:val="%1-%2.%3.%4.%5.%6"/>
      <w:lvlJc w:val="left"/>
      <w:pPr>
        <w:ind w:left="10640" w:hanging="1440"/>
      </w:pPr>
      <w:rPr>
        <w:rFonts w:hint="default"/>
        <w:b/>
      </w:rPr>
    </w:lvl>
    <w:lvl w:ilvl="6">
      <w:start w:val="1"/>
      <w:numFmt w:val="decimal"/>
      <w:lvlText w:val="%1-%2.%3.%4.%5.%6.%7"/>
      <w:lvlJc w:val="left"/>
      <w:pPr>
        <w:ind w:left="12480" w:hanging="1440"/>
      </w:pPr>
      <w:rPr>
        <w:rFonts w:hint="default"/>
        <w:b/>
      </w:rPr>
    </w:lvl>
    <w:lvl w:ilvl="7">
      <w:start w:val="1"/>
      <w:numFmt w:val="decimal"/>
      <w:lvlText w:val="%1-%2.%3.%4.%5.%6.%7.%8"/>
      <w:lvlJc w:val="left"/>
      <w:pPr>
        <w:ind w:left="14680" w:hanging="1800"/>
      </w:pPr>
      <w:rPr>
        <w:rFonts w:hint="default"/>
        <w:b/>
      </w:rPr>
    </w:lvl>
    <w:lvl w:ilvl="8">
      <w:start w:val="1"/>
      <w:numFmt w:val="decimal"/>
      <w:lvlText w:val="%1-%2.%3.%4.%5.%6.%7.%8.%9"/>
      <w:lvlJc w:val="left"/>
      <w:pPr>
        <w:ind w:left="16520" w:hanging="1800"/>
      </w:pPr>
      <w:rPr>
        <w:rFonts w:hint="default"/>
        <w:b/>
      </w:rPr>
    </w:lvl>
  </w:abstractNum>
  <w:abstractNum w:abstractNumId="24" w15:restartNumberingAfterBreak="0">
    <w:nsid w:val="6BC94FDB"/>
    <w:multiLevelType w:val="multilevel"/>
    <w:tmpl w:val="C994BD92"/>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D50B7E"/>
    <w:multiLevelType w:val="hybridMultilevel"/>
    <w:tmpl w:val="922C0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4C7009"/>
    <w:multiLevelType w:val="multilevel"/>
    <w:tmpl w:val="B8E0EB82"/>
    <w:lvl w:ilvl="0">
      <w:start w:val="2020"/>
      <w:numFmt w:val="decimal"/>
      <w:lvlText w:val="%1"/>
      <w:lvlJc w:val="left"/>
      <w:pPr>
        <w:ind w:left="1120" w:hanging="1120"/>
      </w:pPr>
      <w:rPr>
        <w:rFonts w:hint="default"/>
        <w:b/>
      </w:rPr>
    </w:lvl>
    <w:lvl w:ilvl="1">
      <w:start w:val="2021"/>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75587997"/>
    <w:multiLevelType w:val="hybridMultilevel"/>
    <w:tmpl w:val="779884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5726DD"/>
    <w:multiLevelType w:val="multilevel"/>
    <w:tmpl w:val="31D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31611">
    <w:abstractNumId w:val="1"/>
  </w:num>
  <w:num w:numId="2" w16cid:durableId="8262002">
    <w:abstractNumId w:val="3"/>
  </w:num>
  <w:num w:numId="3" w16cid:durableId="1866138699">
    <w:abstractNumId w:val="20"/>
  </w:num>
  <w:num w:numId="4" w16cid:durableId="1333725735">
    <w:abstractNumId w:val="10"/>
  </w:num>
  <w:num w:numId="5" w16cid:durableId="1081558503">
    <w:abstractNumId w:val="16"/>
  </w:num>
  <w:num w:numId="6" w16cid:durableId="2043096236">
    <w:abstractNumId w:val="22"/>
  </w:num>
  <w:num w:numId="7" w16cid:durableId="1460757842">
    <w:abstractNumId w:val="25"/>
  </w:num>
  <w:num w:numId="8" w16cid:durableId="1069769048">
    <w:abstractNumId w:val="4"/>
  </w:num>
  <w:num w:numId="9" w16cid:durableId="1410274529">
    <w:abstractNumId w:val="27"/>
  </w:num>
  <w:num w:numId="10" w16cid:durableId="1719236076">
    <w:abstractNumId w:val="11"/>
  </w:num>
  <w:num w:numId="11" w16cid:durableId="1148745933">
    <w:abstractNumId w:val="7"/>
  </w:num>
  <w:num w:numId="12" w16cid:durableId="1286348068">
    <w:abstractNumId w:val="14"/>
  </w:num>
  <w:num w:numId="13" w16cid:durableId="1377662147">
    <w:abstractNumId w:val="21"/>
  </w:num>
  <w:num w:numId="14" w16cid:durableId="1766071897">
    <w:abstractNumId w:val="6"/>
  </w:num>
  <w:num w:numId="15" w16cid:durableId="812409810">
    <w:abstractNumId w:val="0"/>
  </w:num>
  <w:num w:numId="16" w16cid:durableId="1404183632">
    <w:abstractNumId w:val="9"/>
  </w:num>
  <w:num w:numId="17" w16cid:durableId="1071587616">
    <w:abstractNumId w:val="19"/>
  </w:num>
  <w:num w:numId="18" w16cid:durableId="694581296">
    <w:abstractNumId w:val="8"/>
  </w:num>
  <w:num w:numId="19" w16cid:durableId="1349217362">
    <w:abstractNumId w:val="24"/>
  </w:num>
  <w:num w:numId="20" w16cid:durableId="727344681">
    <w:abstractNumId w:val="28"/>
  </w:num>
  <w:num w:numId="21" w16cid:durableId="478423808">
    <w:abstractNumId w:val="5"/>
  </w:num>
  <w:num w:numId="22" w16cid:durableId="1443114785">
    <w:abstractNumId w:val="15"/>
  </w:num>
  <w:num w:numId="23" w16cid:durableId="787047378">
    <w:abstractNumId w:val="18"/>
  </w:num>
  <w:num w:numId="24" w16cid:durableId="943995218">
    <w:abstractNumId w:val="26"/>
  </w:num>
  <w:num w:numId="25" w16cid:durableId="1998342205">
    <w:abstractNumId w:val="13"/>
  </w:num>
  <w:num w:numId="26" w16cid:durableId="1711955555">
    <w:abstractNumId w:val="23"/>
  </w:num>
  <w:num w:numId="27" w16cid:durableId="857233201">
    <w:abstractNumId w:val="2"/>
  </w:num>
  <w:num w:numId="28" w16cid:durableId="2093744993">
    <w:abstractNumId w:val="17"/>
  </w:num>
  <w:num w:numId="29" w16cid:durableId="1238394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2"/>
    <w:rsid w:val="00001B1B"/>
    <w:rsid w:val="000053A7"/>
    <w:rsid w:val="00007F90"/>
    <w:rsid w:val="00022F57"/>
    <w:rsid w:val="0002372C"/>
    <w:rsid w:val="0003455F"/>
    <w:rsid w:val="000351C1"/>
    <w:rsid w:val="00036A44"/>
    <w:rsid w:val="00036AF6"/>
    <w:rsid w:val="000520AB"/>
    <w:rsid w:val="000539CF"/>
    <w:rsid w:val="00067E5A"/>
    <w:rsid w:val="00095381"/>
    <w:rsid w:val="000A015E"/>
    <w:rsid w:val="000A0326"/>
    <w:rsid w:val="000D1705"/>
    <w:rsid w:val="000D232B"/>
    <w:rsid w:val="000E060B"/>
    <w:rsid w:val="000E1FFD"/>
    <w:rsid w:val="000F32C4"/>
    <w:rsid w:val="000F5B31"/>
    <w:rsid w:val="0010701A"/>
    <w:rsid w:val="00113725"/>
    <w:rsid w:val="001175FF"/>
    <w:rsid w:val="00130A9D"/>
    <w:rsid w:val="00146B44"/>
    <w:rsid w:val="00146EC9"/>
    <w:rsid w:val="00147FA1"/>
    <w:rsid w:val="00161585"/>
    <w:rsid w:val="00161ED5"/>
    <w:rsid w:val="00191EE4"/>
    <w:rsid w:val="00195319"/>
    <w:rsid w:val="001B0A7C"/>
    <w:rsid w:val="001B22DF"/>
    <w:rsid w:val="001B38AC"/>
    <w:rsid w:val="001B3C12"/>
    <w:rsid w:val="001B4F42"/>
    <w:rsid w:val="001C1205"/>
    <w:rsid w:val="001D0E80"/>
    <w:rsid w:val="001E0841"/>
    <w:rsid w:val="001E479D"/>
    <w:rsid w:val="001E6D26"/>
    <w:rsid w:val="001F0EAF"/>
    <w:rsid w:val="001F6C2F"/>
    <w:rsid w:val="00200E26"/>
    <w:rsid w:val="00203F65"/>
    <w:rsid w:val="00206B80"/>
    <w:rsid w:val="00222D44"/>
    <w:rsid w:val="00230071"/>
    <w:rsid w:val="002303E7"/>
    <w:rsid w:val="00243772"/>
    <w:rsid w:val="00252003"/>
    <w:rsid w:val="00254BCE"/>
    <w:rsid w:val="00270BCC"/>
    <w:rsid w:val="0027278B"/>
    <w:rsid w:val="0028527D"/>
    <w:rsid w:val="002900C5"/>
    <w:rsid w:val="00292928"/>
    <w:rsid w:val="0029757D"/>
    <w:rsid w:val="002A1D1A"/>
    <w:rsid w:val="002A3215"/>
    <w:rsid w:val="002A66DA"/>
    <w:rsid w:val="002B408A"/>
    <w:rsid w:val="002B4B61"/>
    <w:rsid w:val="002C6DAA"/>
    <w:rsid w:val="002E5F8E"/>
    <w:rsid w:val="003019D1"/>
    <w:rsid w:val="003042E1"/>
    <w:rsid w:val="0030636B"/>
    <w:rsid w:val="00315DFE"/>
    <w:rsid w:val="003218E4"/>
    <w:rsid w:val="00326CCA"/>
    <w:rsid w:val="003318AA"/>
    <w:rsid w:val="00334BE4"/>
    <w:rsid w:val="00337BA8"/>
    <w:rsid w:val="00341949"/>
    <w:rsid w:val="00345261"/>
    <w:rsid w:val="00352704"/>
    <w:rsid w:val="00367B25"/>
    <w:rsid w:val="00372244"/>
    <w:rsid w:val="00376BCA"/>
    <w:rsid w:val="003B1DAF"/>
    <w:rsid w:val="003C079A"/>
    <w:rsid w:val="003C3EC4"/>
    <w:rsid w:val="003D55ED"/>
    <w:rsid w:val="003E601C"/>
    <w:rsid w:val="003E68AE"/>
    <w:rsid w:val="003F1F46"/>
    <w:rsid w:val="003F725D"/>
    <w:rsid w:val="0041767D"/>
    <w:rsid w:val="00422C19"/>
    <w:rsid w:val="00437F6F"/>
    <w:rsid w:val="00454613"/>
    <w:rsid w:val="00454A5A"/>
    <w:rsid w:val="00474EF3"/>
    <w:rsid w:val="00481B01"/>
    <w:rsid w:val="00487A7C"/>
    <w:rsid w:val="004A4498"/>
    <w:rsid w:val="004A6662"/>
    <w:rsid w:val="004A670F"/>
    <w:rsid w:val="004B402E"/>
    <w:rsid w:val="004B6E99"/>
    <w:rsid w:val="004C3EEB"/>
    <w:rsid w:val="004D2479"/>
    <w:rsid w:val="004E1792"/>
    <w:rsid w:val="004E778C"/>
    <w:rsid w:val="004F2196"/>
    <w:rsid w:val="004F30E7"/>
    <w:rsid w:val="004F4760"/>
    <w:rsid w:val="00503D49"/>
    <w:rsid w:val="005046C1"/>
    <w:rsid w:val="00506776"/>
    <w:rsid w:val="00506EC5"/>
    <w:rsid w:val="005359AD"/>
    <w:rsid w:val="0054558F"/>
    <w:rsid w:val="0054738A"/>
    <w:rsid w:val="00561E50"/>
    <w:rsid w:val="0056584E"/>
    <w:rsid w:val="00566CCB"/>
    <w:rsid w:val="0058494F"/>
    <w:rsid w:val="005928BC"/>
    <w:rsid w:val="005B5847"/>
    <w:rsid w:val="005C28E3"/>
    <w:rsid w:val="005C7F2A"/>
    <w:rsid w:val="005D6049"/>
    <w:rsid w:val="005D6531"/>
    <w:rsid w:val="005E17BC"/>
    <w:rsid w:val="005E7AC0"/>
    <w:rsid w:val="00605778"/>
    <w:rsid w:val="00611BB7"/>
    <w:rsid w:val="00620376"/>
    <w:rsid w:val="00633617"/>
    <w:rsid w:val="0063497B"/>
    <w:rsid w:val="00644CA3"/>
    <w:rsid w:val="006540BD"/>
    <w:rsid w:val="00664B23"/>
    <w:rsid w:val="00671161"/>
    <w:rsid w:val="0067184A"/>
    <w:rsid w:val="00690DE6"/>
    <w:rsid w:val="006B387D"/>
    <w:rsid w:val="006B679F"/>
    <w:rsid w:val="006C7F75"/>
    <w:rsid w:val="006E515F"/>
    <w:rsid w:val="007002E3"/>
    <w:rsid w:val="00706DB5"/>
    <w:rsid w:val="00721935"/>
    <w:rsid w:val="00732820"/>
    <w:rsid w:val="00733C0A"/>
    <w:rsid w:val="00734E40"/>
    <w:rsid w:val="007351EB"/>
    <w:rsid w:val="00735DA1"/>
    <w:rsid w:val="00736B30"/>
    <w:rsid w:val="00742255"/>
    <w:rsid w:val="00745AC2"/>
    <w:rsid w:val="0075756E"/>
    <w:rsid w:val="00765693"/>
    <w:rsid w:val="007757C1"/>
    <w:rsid w:val="00781BF4"/>
    <w:rsid w:val="00792EFA"/>
    <w:rsid w:val="007937C5"/>
    <w:rsid w:val="007B65FD"/>
    <w:rsid w:val="007B6A12"/>
    <w:rsid w:val="007C6194"/>
    <w:rsid w:val="007E567C"/>
    <w:rsid w:val="007F0C3E"/>
    <w:rsid w:val="007F1532"/>
    <w:rsid w:val="00812148"/>
    <w:rsid w:val="00831B23"/>
    <w:rsid w:val="00845B77"/>
    <w:rsid w:val="008467C0"/>
    <w:rsid w:val="008479F4"/>
    <w:rsid w:val="00854CC6"/>
    <w:rsid w:val="008563E6"/>
    <w:rsid w:val="0086675D"/>
    <w:rsid w:val="008702F2"/>
    <w:rsid w:val="0087079E"/>
    <w:rsid w:val="0087184C"/>
    <w:rsid w:val="0087451F"/>
    <w:rsid w:val="00877C7D"/>
    <w:rsid w:val="00887E6C"/>
    <w:rsid w:val="008A030C"/>
    <w:rsid w:val="008A30C1"/>
    <w:rsid w:val="008B0772"/>
    <w:rsid w:val="008B140F"/>
    <w:rsid w:val="008B3CF1"/>
    <w:rsid w:val="008B6ABD"/>
    <w:rsid w:val="008C26CF"/>
    <w:rsid w:val="008C4CBF"/>
    <w:rsid w:val="008D1FBB"/>
    <w:rsid w:val="008D7DA1"/>
    <w:rsid w:val="008E0E98"/>
    <w:rsid w:val="008F50CE"/>
    <w:rsid w:val="008F7AAE"/>
    <w:rsid w:val="009018F4"/>
    <w:rsid w:val="00901BB1"/>
    <w:rsid w:val="00913E7D"/>
    <w:rsid w:val="00917BF3"/>
    <w:rsid w:val="009220D0"/>
    <w:rsid w:val="009229A6"/>
    <w:rsid w:val="0093255B"/>
    <w:rsid w:val="009372DF"/>
    <w:rsid w:val="00941F74"/>
    <w:rsid w:val="00942B75"/>
    <w:rsid w:val="00951680"/>
    <w:rsid w:val="00955EEF"/>
    <w:rsid w:val="00957A9C"/>
    <w:rsid w:val="00982124"/>
    <w:rsid w:val="009845F8"/>
    <w:rsid w:val="00994505"/>
    <w:rsid w:val="00995D9F"/>
    <w:rsid w:val="009A6B2D"/>
    <w:rsid w:val="009C22B5"/>
    <w:rsid w:val="009C689C"/>
    <w:rsid w:val="009E44C8"/>
    <w:rsid w:val="00A0149D"/>
    <w:rsid w:val="00A035A0"/>
    <w:rsid w:val="00A10B63"/>
    <w:rsid w:val="00A11CB8"/>
    <w:rsid w:val="00A15CD5"/>
    <w:rsid w:val="00A43FDA"/>
    <w:rsid w:val="00A47ED6"/>
    <w:rsid w:val="00A67DAE"/>
    <w:rsid w:val="00A74A9B"/>
    <w:rsid w:val="00A76B29"/>
    <w:rsid w:val="00A91F15"/>
    <w:rsid w:val="00A96557"/>
    <w:rsid w:val="00AA3A39"/>
    <w:rsid w:val="00AA7333"/>
    <w:rsid w:val="00AB0B37"/>
    <w:rsid w:val="00AD1C84"/>
    <w:rsid w:val="00AD39DF"/>
    <w:rsid w:val="00AD79E3"/>
    <w:rsid w:val="00AE4C49"/>
    <w:rsid w:val="00B0266A"/>
    <w:rsid w:val="00B13B32"/>
    <w:rsid w:val="00B21BA2"/>
    <w:rsid w:val="00B226CE"/>
    <w:rsid w:val="00B27EF9"/>
    <w:rsid w:val="00B32B55"/>
    <w:rsid w:val="00B349CB"/>
    <w:rsid w:val="00B3550D"/>
    <w:rsid w:val="00B4235B"/>
    <w:rsid w:val="00B549D4"/>
    <w:rsid w:val="00B6020D"/>
    <w:rsid w:val="00B608D6"/>
    <w:rsid w:val="00B623AF"/>
    <w:rsid w:val="00B642DF"/>
    <w:rsid w:val="00B64719"/>
    <w:rsid w:val="00B677A7"/>
    <w:rsid w:val="00B81C83"/>
    <w:rsid w:val="00B94A78"/>
    <w:rsid w:val="00BA3483"/>
    <w:rsid w:val="00BA3E52"/>
    <w:rsid w:val="00BA5D84"/>
    <w:rsid w:val="00BA7AC2"/>
    <w:rsid w:val="00BB246A"/>
    <w:rsid w:val="00BB4418"/>
    <w:rsid w:val="00BB631A"/>
    <w:rsid w:val="00BB720E"/>
    <w:rsid w:val="00BC49B6"/>
    <w:rsid w:val="00BC62C4"/>
    <w:rsid w:val="00BD0936"/>
    <w:rsid w:val="00BE3D52"/>
    <w:rsid w:val="00BF4D38"/>
    <w:rsid w:val="00C00435"/>
    <w:rsid w:val="00C07D77"/>
    <w:rsid w:val="00C125D1"/>
    <w:rsid w:val="00C20B8F"/>
    <w:rsid w:val="00C416B5"/>
    <w:rsid w:val="00C45B7A"/>
    <w:rsid w:val="00C51BCA"/>
    <w:rsid w:val="00C52AA9"/>
    <w:rsid w:val="00C55032"/>
    <w:rsid w:val="00C57529"/>
    <w:rsid w:val="00C66550"/>
    <w:rsid w:val="00C866F0"/>
    <w:rsid w:val="00C91028"/>
    <w:rsid w:val="00C940C7"/>
    <w:rsid w:val="00CA2F85"/>
    <w:rsid w:val="00CA43B4"/>
    <w:rsid w:val="00CB235F"/>
    <w:rsid w:val="00CB37E3"/>
    <w:rsid w:val="00CC603B"/>
    <w:rsid w:val="00CC7A26"/>
    <w:rsid w:val="00CE04BC"/>
    <w:rsid w:val="00CE1479"/>
    <w:rsid w:val="00CE1EF7"/>
    <w:rsid w:val="00CE6AA9"/>
    <w:rsid w:val="00CF63C1"/>
    <w:rsid w:val="00CF655B"/>
    <w:rsid w:val="00D012AC"/>
    <w:rsid w:val="00D20E50"/>
    <w:rsid w:val="00D21181"/>
    <w:rsid w:val="00D2332E"/>
    <w:rsid w:val="00D34BBE"/>
    <w:rsid w:val="00D65765"/>
    <w:rsid w:val="00D71AF7"/>
    <w:rsid w:val="00D72706"/>
    <w:rsid w:val="00D9172A"/>
    <w:rsid w:val="00DA2F06"/>
    <w:rsid w:val="00DA4F2C"/>
    <w:rsid w:val="00DB1EEA"/>
    <w:rsid w:val="00DB24FE"/>
    <w:rsid w:val="00DB6FDF"/>
    <w:rsid w:val="00DC5942"/>
    <w:rsid w:val="00DD0551"/>
    <w:rsid w:val="00DE53ED"/>
    <w:rsid w:val="00DF5D5E"/>
    <w:rsid w:val="00E05590"/>
    <w:rsid w:val="00E0791F"/>
    <w:rsid w:val="00E142DC"/>
    <w:rsid w:val="00E17632"/>
    <w:rsid w:val="00E35AFB"/>
    <w:rsid w:val="00E409B4"/>
    <w:rsid w:val="00E424C3"/>
    <w:rsid w:val="00E44EFB"/>
    <w:rsid w:val="00E4645D"/>
    <w:rsid w:val="00E61604"/>
    <w:rsid w:val="00E81787"/>
    <w:rsid w:val="00E83C11"/>
    <w:rsid w:val="00E8791A"/>
    <w:rsid w:val="00EA60B4"/>
    <w:rsid w:val="00EA7079"/>
    <w:rsid w:val="00EA7D8E"/>
    <w:rsid w:val="00EB26CF"/>
    <w:rsid w:val="00EB6DB5"/>
    <w:rsid w:val="00EC16D4"/>
    <w:rsid w:val="00EC1C28"/>
    <w:rsid w:val="00ED3972"/>
    <w:rsid w:val="00ED42BD"/>
    <w:rsid w:val="00EE07EB"/>
    <w:rsid w:val="00EE0F52"/>
    <w:rsid w:val="00EE5680"/>
    <w:rsid w:val="00EF2911"/>
    <w:rsid w:val="00F01E17"/>
    <w:rsid w:val="00F041A6"/>
    <w:rsid w:val="00F11397"/>
    <w:rsid w:val="00F15EA1"/>
    <w:rsid w:val="00F46E56"/>
    <w:rsid w:val="00F5702C"/>
    <w:rsid w:val="00F642E6"/>
    <w:rsid w:val="00F77678"/>
    <w:rsid w:val="00F93F46"/>
    <w:rsid w:val="00F95B4A"/>
    <w:rsid w:val="00FA181B"/>
    <w:rsid w:val="00FA2ADB"/>
    <w:rsid w:val="00FA6094"/>
    <w:rsid w:val="00FB79FE"/>
    <w:rsid w:val="00FC3371"/>
    <w:rsid w:val="00FD3B9A"/>
    <w:rsid w:val="00FD7EF4"/>
    <w:rsid w:val="00FE294C"/>
    <w:rsid w:val="00FF1D4F"/>
    <w:rsid w:val="00FF21E7"/>
    <w:rsid w:val="00FF2C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8A64A"/>
  <w15:chartTrackingRefBased/>
  <w15:docId w15:val="{B586669F-932C-44F3-8889-5F4A2C23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15CD5"/>
    <w:pPr>
      <w:keepNext/>
      <w:keepLines/>
      <w:spacing w:before="12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autoRedefine/>
    <w:uiPriority w:val="9"/>
    <w:unhideWhenUsed/>
    <w:qFormat/>
    <w:rsid w:val="00A0149D"/>
    <w:pPr>
      <w:keepNext/>
      <w:keepLines/>
      <w:spacing w:before="160" w:after="240"/>
      <w:outlineLvl w:val="1"/>
    </w:pPr>
    <w:rPr>
      <w:rFonts w:ascii="Arial" w:eastAsiaTheme="majorEastAsia" w:hAnsi="Arial" w:cs="Arial"/>
      <w:b/>
      <w:bCs/>
      <w:color w:val="000000" w:themeColor="text1"/>
      <w:sz w:val="32"/>
      <w:szCs w:val="32"/>
    </w:rPr>
  </w:style>
  <w:style w:type="paragraph" w:styleId="Heading3">
    <w:name w:val="heading 3"/>
    <w:basedOn w:val="Normal"/>
    <w:next w:val="Normal"/>
    <w:link w:val="Heading3Char"/>
    <w:autoRedefine/>
    <w:uiPriority w:val="9"/>
    <w:unhideWhenUsed/>
    <w:qFormat/>
    <w:rsid w:val="00A96557"/>
    <w:pPr>
      <w:keepNext/>
      <w:keepLines/>
      <w:spacing w:before="160" w:after="80"/>
      <w:outlineLvl w:val="2"/>
    </w:pPr>
    <w:rPr>
      <w:rFonts w:eastAsiaTheme="majorEastAsia" w:cstheme="majorBidi"/>
      <w:color w:val="0F4761" w:themeColor="accent1" w:themeShade="BF"/>
      <w:sz w:val="36"/>
      <w:szCs w:val="28"/>
    </w:rPr>
  </w:style>
  <w:style w:type="paragraph" w:styleId="Heading4">
    <w:name w:val="heading 4"/>
    <w:basedOn w:val="Normal"/>
    <w:next w:val="Normal"/>
    <w:link w:val="Heading4Char"/>
    <w:autoRedefine/>
    <w:uiPriority w:val="9"/>
    <w:unhideWhenUsed/>
    <w:qFormat/>
    <w:rsid w:val="00B21BA2"/>
    <w:pPr>
      <w:keepNext/>
      <w:keepLines/>
      <w:spacing w:before="200"/>
      <w:outlineLvl w:val="3"/>
    </w:pPr>
    <w:rPr>
      <w:rFonts w:ascii="Arial" w:eastAsiaTheme="majorEastAsia" w:hAnsi="Arial" w:cs="Arial"/>
      <w:sz w:val="40"/>
      <w:szCs w:val="40"/>
    </w:rPr>
  </w:style>
  <w:style w:type="paragraph" w:styleId="Heading5">
    <w:name w:val="heading 5"/>
    <w:basedOn w:val="Normal"/>
    <w:next w:val="Normal"/>
    <w:link w:val="Heading5Char"/>
    <w:uiPriority w:val="9"/>
    <w:semiHidden/>
    <w:unhideWhenUsed/>
    <w:qFormat/>
    <w:rsid w:val="004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D5"/>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A0149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A96557"/>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B21BA2"/>
    <w:rPr>
      <w:rFonts w:ascii="Arial" w:eastAsiaTheme="majorEastAsia" w:hAnsi="Arial" w:cs="Arial"/>
      <w:sz w:val="40"/>
      <w:szCs w:val="40"/>
    </w:rPr>
  </w:style>
  <w:style w:type="character" w:customStyle="1" w:styleId="Heading5Char">
    <w:name w:val="Heading 5 Char"/>
    <w:basedOn w:val="DefaultParagraphFont"/>
    <w:link w:val="Heading5"/>
    <w:uiPriority w:val="9"/>
    <w:semiHidden/>
    <w:rsid w:val="004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9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002E3"/>
    <w:pPr>
      <w:spacing w:after="80" w:line="240" w:lineRule="auto"/>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7002E3"/>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4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4E1792"/>
    <w:rPr>
      <w:i/>
      <w:iCs/>
      <w:color w:val="404040" w:themeColor="text1" w:themeTint="BF"/>
    </w:rPr>
  </w:style>
  <w:style w:type="paragraph" w:styleId="ListParagraph">
    <w:name w:val="List Paragraph"/>
    <w:basedOn w:val="Normal"/>
    <w:uiPriority w:val="34"/>
    <w:qFormat/>
    <w:rsid w:val="004E1792"/>
    <w:pPr>
      <w:ind w:left="720"/>
      <w:contextualSpacing/>
    </w:pPr>
  </w:style>
  <w:style w:type="character" w:styleId="IntenseEmphasis">
    <w:name w:val="Intense Emphasis"/>
    <w:basedOn w:val="DefaultParagraphFont"/>
    <w:uiPriority w:val="21"/>
    <w:qFormat/>
    <w:rsid w:val="004E1792"/>
    <w:rPr>
      <w:i/>
      <w:iCs/>
      <w:color w:val="0F4761" w:themeColor="accent1" w:themeShade="BF"/>
    </w:rPr>
  </w:style>
  <w:style w:type="paragraph" w:styleId="IntenseQuote">
    <w:name w:val="Intense Quote"/>
    <w:basedOn w:val="Normal"/>
    <w:next w:val="Normal"/>
    <w:link w:val="IntenseQuoteChar"/>
    <w:uiPriority w:val="30"/>
    <w:qFormat/>
    <w:rsid w:val="004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92"/>
    <w:rPr>
      <w:i/>
      <w:iCs/>
      <w:color w:val="0F4761" w:themeColor="accent1" w:themeShade="BF"/>
    </w:rPr>
  </w:style>
  <w:style w:type="character" w:styleId="IntenseReference">
    <w:name w:val="Intense Reference"/>
    <w:basedOn w:val="DefaultParagraphFont"/>
    <w:uiPriority w:val="32"/>
    <w:qFormat/>
    <w:rsid w:val="004E1792"/>
    <w:rPr>
      <w:b/>
      <w:bCs/>
      <w:smallCaps/>
      <w:color w:val="0F4761" w:themeColor="accent1" w:themeShade="BF"/>
      <w:spacing w:val="5"/>
    </w:rPr>
  </w:style>
  <w:style w:type="character" w:styleId="Hyperlink">
    <w:name w:val="Hyperlink"/>
    <w:basedOn w:val="DefaultParagraphFont"/>
    <w:uiPriority w:val="99"/>
    <w:unhideWhenUsed/>
    <w:rsid w:val="004E1792"/>
    <w:rPr>
      <w:color w:val="467886" w:themeColor="hyperlink"/>
      <w:u w:val="single"/>
    </w:rPr>
  </w:style>
  <w:style w:type="character" w:styleId="UnresolvedMention">
    <w:name w:val="Unresolved Mention"/>
    <w:basedOn w:val="DefaultParagraphFont"/>
    <w:uiPriority w:val="99"/>
    <w:semiHidden/>
    <w:unhideWhenUsed/>
    <w:rsid w:val="004E1792"/>
    <w:rPr>
      <w:color w:val="605E5C"/>
      <w:shd w:val="clear" w:color="auto" w:fill="E1DFDD"/>
    </w:rPr>
  </w:style>
  <w:style w:type="paragraph" w:styleId="Caption">
    <w:name w:val="caption"/>
    <w:basedOn w:val="Normal"/>
    <w:next w:val="Normal"/>
    <w:uiPriority w:val="35"/>
    <w:unhideWhenUsed/>
    <w:qFormat/>
    <w:rsid w:val="004E1792"/>
    <w:pPr>
      <w:spacing w:after="200" w:line="240" w:lineRule="auto"/>
    </w:pPr>
    <w:rPr>
      <w:i/>
      <w:iCs/>
      <w:color w:val="0E2841" w:themeColor="text2"/>
      <w:sz w:val="18"/>
      <w:szCs w:val="18"/>
    </w:rPr>
  </w:style>
  <w:style w:type="paragraph" w:styleId="NormalWeb">
    <w:name w:val="Normal (Web)"/>
    <w:basedOn w:val="Normal"/>
    <w:uiPriority w:val="99"/>
    <w:semiHidden/>
    <w:unhideWhenUsed/>
    <w:rsid w:val="00A76B2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Spacing">
    <w:name w:val="No Spacing"/>
    <w:link w:val="NoSpacingChar"/>
    <w:uiPriority w:val="1"/>
    <w:qFormat/>
    <w:rsid w:val="007002E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2E3"/>
    <w:rPr>
      <w:rFonts w:eastAsiaTheme="minorEastAsia"/>
      <w:kern w:val="0"/>
      <w:sz w:val="22"/>
      <w:szCs w:val="22"/>
      <w:lang w:val="en-US"/>
      <w14:ligatures w14:val="none"/>
    </w:rPr>
  </w:style>
  <w:style w:type="paragraph" w:styleId="Header">
    <w:name w:val="header"/>
    <w:basedOn w:val="Normal"/>
    <w:link w:val="HeaderChar"/>
    <w:uiPriority w:val="99"/>
    <w:unhideWhenUsed/>
    <w:rsid w:val="0070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E3"/>
  </w:style>
  <w:style w:type="paragraph" w:styleId="Footer">
    <w:name w:val="footer"/>
    <w:basedOn w:val="Normal"/>
    <w:link w:val="FooterChar"/>
    <w:uiPriority w:val="99"/>
    <w:unhideWhenUsed/>
    <w:rsid w:val="0070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E3"/>
  </w:style>
  <w:style w:type="table" w:styleId="TableGrid">
    <w:name w:val="Table Grid"/>
    <w:basedOn w:val="TableNormal"/>
    <w:uiPriority w:val="39"/>
    <w:rsid w:val="00E4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54">
      <w:bodyDiv w:val="1"/>
      <w:marLeft w:val="0"/>
      <w:marRight w:val="0"/>
      <w:marTop w:val="0"/>
      <w:marBottom w:val="0"/>
      <w:divBdr>
        <w:top w:val="none" w:sz="0" w:space="0" w:color="auto"/>
        <w:left w:val="none" w:sz="0" w:space="0" w:color="auto"/>
        <w:bottom w:val="none" w:sz="0" w:space="0" w:color="auto"/>
        <w:right w:val="none" w:sz="0" w:space="0" w:color="auto"/>
      </w:divBdr>
    </w:div>
    <w:div w:id="30692658">
      <w:bodyDiv w:val="1"/>
      <w:marLeft w:val="0"/>
      <w:marRight w:val="0"/>
      <w:marTop w:val="0"/>
      <w:marBottom w:val="0"/>
      <w:divBdr>
        <w:top w:val="none" w:sz="0" w:space="0" w:color="auto"/>
        <w:left w:val="none" w:sz="0" w:space="0" w:color="auto"/>
        <w:bottom w:val="none" w:sz="0" w:space="0" w:color="auto"/>
        <w:right w:val="none" w:sz="0" w:space="0" w:color="auto"/>
      </w:divBdr>
    </w:div>
    <w:div w:id="45841732">
      <w:bodyDiv w:val="1"/>
      <w:marLeft w:val="0"/>
      <w:marRight w:val="0"/>
      <w:marTop w:val="0"/>
      <w:marBottom w:val="0"/>
      <w:divBdr>
        <w:top w:val="none" w:sz="0" w:space="0" w:color="auto"/>
        <w:left w:val="none" w:sz="0" w:space="0" w:color="auto"/>
        <w:bottom w:val="none" w:sz="0" w:space="0" w:color="auto"/>
        <w:right w:val="none" w:sz="0" w:space="0" w:color="auto"/>
      </w:divBdr>
    </w:div>
    <w:div w:id="51195848">
      <w:bodyDiv w:val="1"/>
      <w:marLeft w:val="0"/>
      <w:marRight w:val="0"/>
      <w:marTop w:val="0"/>
      <w:marBottom w:val="0"/>
      <w:divBdr>
        <w:top w:val="none" w:sz="0" w:space="0" w:color="auto"/>
        <w:left w:val="none" w:sz="0" w:space="0" w:color="auto"/>
        <w:bottom w:val="none" w:sz="0" w:space="0" w:color="auto"/>
        <w:right w:val="none" w:sz="0" w:space="0" w:color="auto"/>
      </w:divBdr>
    </w:div>
    <w:div w:id="54743606">
      <w:bodyDiv w:val="1"/>
      <w:marLeft w:val="0"/>
      <w:marRight w:val="0"/>
      <w:marTop w:val="0"/>
      <w:marBottom w:val="0"/>
      <w:divBdr>
        <w:top w:val="none" w:sz="0" w:space="0" w:color="auto"/>
        <w:left w:val="none" w:sz="0" w:space="0" w:color="auto"/>
        <w:bottom w:val="none" w:sz="0" w:space="0" w:color="auto"/>
        <w:right w:val="none" w:sz="0" w:space="0" w:color="auto"/>
      </w:divBdr>
    </w:div>
    <w:div w:id="64687596">
      <w:bodyDiv w:val="1"/>
      <w:marLeft w:val="0"/>
      <w:marRight w:val="0"/>
      <w:marTop w:val="0"/>
      <w:marBottom w:val="0"/>
      <w:divBdr>
        <w:top w:val="none" w:sz="0" w:space="0" w:color="auto"/>
        <w:left w:val="none" w:sz="0" w:space="0" w:color="auto"/>
        <w:bottom w:val="none" w:sz="0" w:space="0" w:color="auto"/>
        <w:right w:val="none" w:sz="0" w:space="0" w:color="auto"/>
      </w:divBdr>
    </w:div>
    <w:div w:id="67925621">
      <w:bodyDiv w:val="1"/>
      <w:marLeft w:val="0"/>
      <w:marRight w:val="0"/>
      <w:marTop w:val="0"/>
      <w:marBottom w:val="0"/>
      <w:divBdr>
        <w:top w:val="none" w:sz="0" w:space="0" w:color="auto"/>
        <w:left w:val="none" w:sz="0" w:space="0" w:color="auto"/>
        <w:bottom w:val="none" w:sz="0" w:space="0" w:color="auto"/>
        <w:right w:val="none" w:sz="0" w:space="0" w:color="auto"/>
      </w:divBdr>
    </w:div>
    <w:div w:id="75786704">
      <w:bodyDiv w:val="1"/>
      <w:marLeft w:val="0"/>
      <w:marRight w:val="0"/>
      <w:marTop w:val="0"/>
      <w:marBottom w:val="0"/>
      <w:divBdr>
        <w:top w:val="none" w:sz="0" w:space="0" w:color="auto"/>
        <w:left w:val="none" w:sz="0" w:space="0" w:color="auto"/>
        <w:bottom w:val="none" w:sz="0" w:space="0" w:color="auto"/>
        <w:right w:val="none" w:sz="0" w:space="0" w:color="auto"/>
      </w:divBdr>
    </w:div>
    <w:div w:id="104812293">
      <w:bodyDiv w:val="1"/>
      <w:marLeft w:val="0"/>
      <w:marRight w:val="0"/>
      <w:marTop w:val="0"/>
      <w:marBottom w:val="0"/>
      <w:divBdr>
        <w:top w:val="none" w:sz="0" w:space="0" w:color="auto"/>
        <w:left w:val="none" w:sz="0" w:space="0" w:color="auto"/>
        <w:bottom w:val="none" w:sz="0" w:space="0" w:color="auto"/>
        <w:right w:val="none" w:sz="0" w:space="0" w:color="auto"/>
      </w:divBdr>
    </w:div>
    <w:div w:id="127088892">
      <w:bodyDiv w:val="1"/>
      <w:marLeft w:val="0"/>
      <w:marRight w:val="0"/>
      <w:marTop w:val="0"/>
      <w:marBottom w:val="0"/>
      <w:divBdr>
        <w:top w:val="none" w:sz="0" w:space="0" w:color="auto"/>
        <w:left w:val="none" w:sz="0" w:space="0" w:color="auto"/>
        <w:bottom w:val="none" w:sz="0" w:space="0" w:color="auto"/>
        <w:right w:val="none" w:sz="0" w:space="0" w:color="auto"/>
      </w:divBdr>
    </w:div>
    <w:div w:id="152569262">
      <w:bodyDiv w:val="1"/>
      <w:marLeft w:val="0"/>
      <w:marRight w:val="0"/>
      <w:marTop w:val="0"/>
      <w:marBottom w:val="0"/>
      <w:divBdr>
        <w:top w:val="none" w:sz="0" w:space="0" w:color="auto"/>
        <w:left w:val="none" w:sz="0" w:space="0" w:color="auto"/>
        <w:bottom w:val="none" w:sz="0" w:space="0" w:color="auto"/>
        <w:right w:val="none" w:sz="0" w:space="0" w:color="auto"/>
      </w:divBdr>
    </w:div>
    <w:div w:id="163671430">
      <w:bodyDiv w:val="1"/>
      <w:marLeft w:val="0"/>
      <w:marRight w:val="0"/>
      <w:marTop w:val="0"/>
      <w:marBottom w:val="0"/>
      <w:divBdr>
        <w:top w:val="none" w:sz="0" w:space="0" w:color="auto"/>
        <w:left w:val="none" w:sz="0" w:space="0" w:color="auto"/>
        <w:bottom w:val="none" w:sz="0" w:space="0" w:color="auto"/>
        <w:right w:val="none" w:sz="0" w:space="0" w:color="auto"/>
      </w:divBdr>
      <w:divsChild>
        <w:div w:id="1262757691">
          <w:marLeft w:val="-225"/>
          <w:marRight w:val="-225"/>
          <w:marTop w:val="750"/>
          <w:marBottom w:val="0"/>
          <w:divBdr>
            <w:top w:val="none" w:sz="0" w:space="0" w:color="auto"/>
            <w:left w:val="none" w:sz="0" w:space="0" w:color="auto"/>
            <w:bottom w:val="none" w:sz="0" w:space="0" w:color="auto"/>
            <w:right w:val="none" w:sz="0" w:space="0" w:color="auto"/>
          </w:divBdr>
          <w:divsChild>
            <w:div w:id="1913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546">
      <w:bodyDiv w:val="1"/>
      <w:marLeft w:val="0"/>
      <w:marRight w:val="0"/>
      <w:marTop w:val="0"/>
      <w:marBottom w:val="0"/>
      <w:divBdr>
        <w:top w:val="none" w:sz="0" w:space="0" w:color="auto"/>
        <w:left w:val="none" w:sz="0" w:space="0" w:color="auto"/>
        <w:bottom w:val="none" w:sz="0" w:space="0" w:color="auto"/>
        <w:right w:val="none" w:sz="0" w:space="0" w:color="auto"/>
      </w:divBdr>
    </w:div>
    <w:div w:id="228075248">
      <w:bodyDiv w:val="1"/>
      <w:marLeft w:val="0"/>
      <w:marRight w:val="0"/>
      <w:marTop w:val="0"/>
      <w:marBottom w:val="0"/>
      <w:divBdr>
        <w:top w:val="none" w:sz="0" w:space="0" w:color="auto"/>
        <w:left w:val="none" w:sz="0" w:space="0" w:color="auto"/>
        <w:bottom w:val="none" w:sz="0" w:space="0" w:color="auto"/>
        <w:right w:val="none" w:sz="0" w:space="0" w:color="auto"/>
      </w:divBdr>
      <w:divsChild>
        <w:div w:id="1982882573">
          <w:marLeft w:val="0"/>
          <w:marRight w:val="0"/>
          <w:marTop w:val="0"/>
          <w:marBottom w:val="0"/>
          <w:divBdr>
            <w:top w:val="none" w:sz="0" w:space="0" w:color="auto"/>
            <w:left w:val="none" w:sz="0" w:space="0" w:color="auto"/>
            <w:bottom w:val="none" w:sz="0" w:space="0" w:color="auto"/>
            <w:right w:val="none" w:sz="0" w:space="0" w:color="auto"/>
          </w:divBdr>
        </w:div>
      </w:divsChild>
    </w:div>
    <w:div w:id="261652103">
      <w:bodyDiv w:val="1"/>
      <w:marLeft w:val="0"/>
      <w:marRight w:val="0"/>
      <w:marTop w:val="0"/>
      <w:marBottom w:val="0"/>
      <w:divBdr>
        <w:top w:val="none" w:sz="0" w:space="0" w:color="auto"/>
        <w:left w:val="none" w:sz="0" w:space="0" w:color="auto"/>
        <w:bottom w:val="none" w:sz="0" w:space="0" w:color="auto"/>
        <w:right w:val="none" w:sz="0" w:space="0" w:color="auto"/>
      </w:divBdr>
    </w:div>
    <w:div w:id="310405559">
      <w:bodyDiv w:val="1"/>
      <w:marLeft w:val="0"/>
      <w:marRight w:val="0"/>
      <w:marTop w:val="0"/>
      <w:marBottom w:val="0"/>
      <w:divBdr>
        <w:top w:val="none" w:sz="0" w:space="0" w:color="auto"/>
        <w:left w:val="none" w:sz="0" w:space="0" w:color="auto"/>
        <w:bottom w:val="none" w:sz="0" w:space="0" w:color="auto"/>
        <w:right w:val="none" w:sz="0" w:space="0" w:color="auto"/>
      </w:divBdr>
    </w:div>
    <w:div w:id="311836130">
      <w:bodyDiv w:val="1"/>
      <w:marLeft w:val="0"/>
      <w:marRight w:val="0"/>
      <w:marTop w:val="0"/>
      <w:marBottom w:val="0"/>
      <w:divBdr>
        <w:top w:val="none" w:sz="0" w:space="0" w:color="auto"/>
        <w:left w:val="none" w:sz="0" w:space="0" w:color="auto"/>
        <w:bottom w:val="none" w:sz="0" w:space="0" w:color="auto"/>
        <w:right w:val="none" w:sz="0" w:space="0" w:color="auto"/>
      </w:divBdr>
    </w:div>
    <w:div w:id="349331883">
      <w:bodyDiv w:val="1"/>
      <w:marLeft w:val="0"/>
      <w:marRight w:val="0"/>
      <w:marTop w:val="0"/>
      <w:marBottom w:val="0"/>
      <w:divBdr>
        <w:top w:val="none" w:sz="0" w:space="0" w:color="auto"/>
        <w:left w:val="none" w:sz="0" w:space="0" w:color="auto"/>
        <w:bottom w:val="none" w:sz="0" w:space="0" w:color="auto"/>
        <w:right w:val="none" w:sz="0" w:space="0" w:color="auto"/>
      </w:divBdr>
    </w:div>
    <w:div w:id="441191623">
      <w:bodyDiv w:val="1"/>
      <w:marLeft w:val="0"/>
      <w:marRight w:val="0"/>
      <w:marTop w:val="0"/>
      <w:marBottom w:val="0"/>
      <w:divBdr>
        <w:top w:val="none" w:sz="0" w:space="0" w:color="auto"/>
        <w:left w:val="none" w:sz="0" w:space="0" w:color="auto"/>
        <w:bottom w:val="none" w:sz="0" w:space="0" w:color="auto"/>
        <w:right w:val="none" w:sz="0" w:space="0" w:color="auto"/>
      </w:divBdr>
    </w:div>
    <w:div w:id="451285693">
      <w:bodyDiv w:val="1"/>
      <w:marLeft w:val="0"/>
      <w:marRight w:val="0"/>
      <w:marTop w:val="0"/>
      <w:marBottom w:val="0"/>
      <w:divBdr>
        <w:top w:val="none" w:sz="0" w:space="0" w:color="auto"/>
        <w:left w:val="none" w:sz="0" w:space="0" w:color="auto"/>
        <w:bottom w:val="none" w:sz="0" w:space="0" w:color="auto"/>
        <w:right w:val="none" w:sz="0" w:space="0" w:color="auto"/>
      </w:divBdr>
    </w:div>
    <w:div w:id="534078422">
      <w:bodyDiv w:val="1"/>
      <w:marLeft w:val="0"/>
      <w:marRight w:val="0"/>
      <w:marTop w:val="0"/>
      <w:marBottom w:val="0"/>
      <w:divBdr>
        <w:top w:val="none" w:sz="0" w:space="0" w:color="auto"/>
        <w:left w:val="none" w:sz="0" w:space="0" w:color="auto"/>
        <w:bottom w:val="none" w:sz="0" w:space="0" w:color="auto"/>
        <w:right w:val="none" w:sz="0" w:space="0" w:color="auto"/>
      </w:divBdr>
    </w:div>
    <w:div w:id="534119733">
      <w:bodyDiv w:val="1"/>
      <w:marLeft w:val="0"/>
      <w:marRight w:val="0"/>
      <w:marTop w:val="0"/>
      <w:marBottom w:val="0"/>
      <w:divBdr>
        <w:top w:val="none" w:sz="0" w:space="0" w:color="auto"/>
        <w:left w:val="none" w:sz="0" w:space="0" w:color="auto"/>
        <w:bottom w:val="none" w:sz="0" w:space="0" w:color="auto"/>
        <w:right w:val="none" w:sz="0" w:space="0" w:color="auto"/>
      </w:divBdr>
    </w:div>
    <w:div w:id="536048987">
      <w:bodyDiv w:val="1"/>
      <w:marLeft w:val="0"/>
      <w:marRight w:val="0"/>
      <w:marTop w:val="0"/>
      <w:marBottom w:val="0"/>
      <w:divBdr>
        <w:top w:val="none" w:sz="0" w:space="0" w:color="auto"/>
        <w:left w:val="none" w:sz="0" w:space="0" w:color="auto"/>
        <w:bottom w:val="none" w:sz="0" w:space="0" w:color="auto"/>
        <w:right w:val="none" w:sz="0" w:space="0" w:color="auto"/>
      </w:divBdr>
    </w:div>
    <w:div w:id="558789643">
      <w:bodyDiv w:val="1"/>
      <w:marLeft w:val="0"/>
      <w:marRight w:val="0"/>
      <w:marTop w:val="0"/>
      <w:marBottom w:val="0"/>
      <w:divBdr>
        <w:top w:val="none" w:sz="0" w:space="0" w:color="auto"/>
        <w:left w:val="none" w:sz="0" w:space="0" w:color="auto"/>
        <w:bottom w:val="none" w:sz="0" w:space="0" w:color="auto"/>
        <w:right w:val="none" w:sz="0" w:space="0" w:color="auto"/>
      </w:divBdr>
    </w:div>
    <w:div w:id="767851349">
      <w:bodyDiv w:val="1"/>
      <w:marLeft w:val="0"/>
      <w:marRight w:val="0"/>
      <w:marTop w:val="0"/>
      <w:marBottom w:val="0"/>
      <w:divBdr>
        <w:top w:val="none" w:sz="0" w:space="0" w:color="auto"/>
        <w:left w:val="none" w:sz="0" w:space="0" w:color="auto"/>
        <w:bottom w:val="none" w:sz="0" w:space="0" w:color="auto"/>
        <w:right w:val="none" w:sz="0" w:space="0" w:color="auto"/>
      </w:divBdr>
    </w:div>
    <w:div w:id="809132591">
      <w:bodyDiv w:val="1"/>
      <w:marLeft w:val="0"/>
      <w:marRight w:val="0"/>
      <w:marTop w:val="0"/>
      <w:marBottom w:val="0"/>
      <w:divBdr>
        <w:top w:val="none" w:sz="0" w:space="0" w:color="auto"/>
        <w:left w:val="none" w:sz="0" w:space="0" w:color="auto"/>
        <w:bottom w:val="none" w:sz="0" w:space="0" w:color="auto"/>
        <w:right w:val="none" w:sz="0" w:space="0" w:color="auto"/>
      </w:divBdr>
    </w:div>
    <w:div w:id="918440005">
      <w:bodyDiv w:val="1"/>
      <w:marLeft w:val="0"/>
      <w:marRight w:val="0"/>
      <w:marTop w:val="0"/>
      <w:marBottom w:val="0"/>
      <w:divBdr>
        <w:top w:val="none" w:sz="0" w:space="0" w:color="auto"/>
        <w:left w:val="none" w:sz="0" w:space="0" w:color="auto"/>
        <w:bottom w:val="none" w:sz="0" w:space="0" w:color="auto"/>
        <w:right w:val="none" w:sz="0" w:space="0" w:color="auto"/>
      </w:divBdr>
    </w:div>
    <w:div w:id="1044676468">
      <w:bodyDiv w:val="1"/>
      <w:marLeft w:val="0"/>
      <w:marRight w:val="0"/>
      <w:marTop w:val="0"/>
      <w:marBottom w:val="0"/>
      <w:divBdr>
        <w:top w:val="none" w:sz="0" w:space="0" w:color="auto"/>
        <w:left w:val="none" w:sz="0" w:space="0" w:color="auto"/>
        <w:bottom w:val="none" w:sz="0" w:space="0" w:color="auto"/>
        <w:right w:val="none" w:sz="0" w:space="0" w:color="auto"/>
      </w:divBdr>
    </w:div>
    <w:div w:id="1058556097">
      <w:bodyDiv w:val="1"/>
      <w:marLeft w:val="0"/>
      <w:marRight w:val="0"/>
      <w:marTop w:val="0"/>
      <w:marBottom w:val="0"/>
      <w:divBdr>
        <w:top w:val="none" w:sz="0" w:space="0" w:color="auto"/>
        <w:left w:val="none" w:sz="0" w:space="0" w:color="auto"/>
        <w:bottom w:val="none" w:sz="0" w:space="0" w:color="auto"/>
        <w:right w:val="none" w:sz="0" w:space="0" w:color="auto"/>
      </w:divBdr>
    </w:div>
    <w:div w:id="1114862185">
      <w:bodyDiv w:val="1"/>
      <w:marLeft w:val="0"/>
      <w:marRight w:val="0"/>
      <w:marTop w:val="0"/>
      <w:marBottom w:val="0"/>
      <w:divBdr>
        <w:top w:val="none" w:sz="0" w:space="0" w:color="auto"/>
        <w:left w:val="none" w:sz="0" w:space="0" w:color="auto"/>
        <w:bottom w:val="none" w:sz="0" w:space="0" w:color="auto"/>
        <w:right w:val="none" w:sz="0" w:space="0" w:color="auto"/>
      </w:divBdr>
    </w:div>
    <w:div w:id="1148933289">
      <w:bodyDiv w:val="1"/>
      <w:marLeft w:val="0"/>
      <w:marRight w:val="0"/>
      <w:marTop w:val="0"/>
      <w:marBottom w:val="0"/>
      <w:divBdr>
        <w:top w:val="none" w:sz="0" w:space="0" w:color="auto"/>
        <w:left w:val="none" w:sz="0" w:space="0" w:color="auto"/>
        <w:bottom w:val="none" w:sz="0" w:space="0" w:color="auto"/>
        <w:right w:val="none" w:sz="0" w:space="0" w:color="auto"/>
      </w:divBdr>
      <w:divsChild>
        <w:div w:id="1226452380">
          <w:marLeft w:val="-225"/>
          <w:marRight w:val="-225"/>
          <w:marTop w:val="750"/>
          <w:marBottom w:val="0"/>
          <w:divBdr>
            <w:top w:val="none" w:sz="0" w:space="0" w:color="auto"/>
            <w:left w:val="none" w:sz="0" w:space="0" w:color="auto"/>
            <w:bottom w:val="none" w:sz="0" w:space="0" w:color="auto"/>
            <w:right w:val="none" w:sz="0" w:space="0" w:color="auto"/>
          </w:divBdr>
          <w:divsChild>
            <w:div w:id="6167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9437">
      <w:bodyDiv w:val="1"/>
      <w:marLeft w:val="0"/>
      <w:marRight w:val="0"/>
      <w:marTop w:val="0"/>
      <w:marBottom w:val="0"/>
      <w:divBdr>
        <w:top w:val="none" w:sz="0" w:space="0" w:color="auto"/>
        <w:left w:val="none" w:sz="0" w:space="0" w:color="auto"/>
        <w:bottom w:val="none" w:sz="0" w:space="0" w:color="auto"/>
        <w:right w:val="none" w:sz="0" w:space="0" w:color="auto"/>
      </w:divBdr>
    </w:div>
    <w:div w:id="1236083567">
      <w:bodyDiv w:val="1"/>
      <w:marLeft w:val="0"/>
      <w:marRight w:val="0"/>
      <w:marTop w:val="0"/>
      <w:marBottom w:val="0"/>
      <w:divBdr>
        <w:top w:val="none" w:sz="0" w:space="0" w:color="auto"/>
        <w:left w:val="none" w:sz="0" w:space="0" w:color="auto"/>
        <w:bottom w:val="none" w:sz="0" w:space="0" w:color="auto"/>
        <w:right w:val="none" w:sz="0" w:space="0" w:color="auto"/>
      </w:divBdr>
    </w:div>
    <w:div w:id="1236165764">
      <w:bodyDiv w:val="1"/>
      <w:marLeft w:val="0"/>
      <w:marRight w:val="0"/>
      <w:marTop w:val="0"/>
      <w:marBottom w:val="0"/>
      <w:divBdr>
        <w:top w:val="none" w:sz="0" w:space="0" w:color="auto"/>
        <w:left w:val="none" w:sz="0" w:space="0" w:color="auto"/>
        <w:bottom w:val="none" w:sz="0" w:space="0" w:color="auto"/>
        <w:right w:val="none" w:sz="0" w:space="0" w:color="auto"/>
      </w:divBdr>
    </w:div>
    <w:div w:id="1259406437">
      <w:bodyDiv w:val="1"/>
      <w:marLeft w:val="0"/>
      <w:marRight w:val="0"/>
      <w:marTop w:val="0"/>
      <w:marBottom w:val="0"/>
      <w:divBdr>
        <w:top w:val="none" w:sz="0" w:space="0" w:color="auto"/>
        <w:left w:val="none" w:sz="0" w:space="0" w:color="auto"/>
        <w:bottom w:val="none" w:sz="0" w:space="0" w:color="auto"/>
        <w:right w:val="none" w:sz="0" w:space="0" w:color="auto"/>
      </w:divBdr>
    </w:div>
    <w:div w:id="1260601810">
      <w:bodyDiv w:val="1"/>
      <w:marLeft w:val="0"/>
      <w:marRight w:val="0"/>
      <w:marTop w:val="0"/>
      <w:marBottom w:val="0"/>
      <w:divBdr>
        <w:top w:val="none" w:sz="0" w:space="0" w:color="auto"/>
        <w:left w:val="none" w:sz="0" w:space="0" w:color="auto"/>
        <w:bottom w:val="none" w:sz="0" w:space="0" w:color="auto"/>
        <w:right w:val="none" w:sz="0" w:space="0" w:color="auto"/>
      </w:divBdr>
      <w:divsChild>
        <w:div w:id="1515730106">
          <w:marLeft w:val="0"/>
          <w:marRight w:val="0"/>
          <w:marTop w:val="0"/>
          <w:marBottom w:val="0"/>
          <w:divBdr>
            <w:top w:val="none" w:sz="0" w:space="0" w:color="auto"/>
            <w:left w:val="none" w:sz="0" w:space="0" w:color="auto"/>
            <w:bottom w:val="none" w:sz="0" w:space="0" w:color="auto"/>
            <w:right w:val="none" w:sz="0" w:space="0" w:color="auto"/>
          </w:divBdr>
        </w:div>
      </w:divsChild>
    </w:div>
    <w:div w:id="1355644458">
      <w:bodyDiv w:val="1"/>
      <w:marLeft w:val="0"/>
      <w:marRight w:val="0"/>
      <w:marTop w:val="0"/>
      <w:marBottom w:val="0"/>
      <w:divBdr>
        <w:top w:val="none" w:sz="0" w:space="0" w:color="auto"/>
        <w:left w:val="none" w:sz="0" w:space="0" w:color="auto"/>
        <w:bottom w:val="none" w:sz="0" w:space="0" w:color="auto"/>
        <w:right w:val="none" w:sz="0" w:space="0" w:color="auto"/>
      </w:divBdr>
    </w:div>
    <w:div w:id="1378552398">
      <w:bodyDiv w:val="1"/>
      <w:marLeft w:val="0"/>
      <w:marRight w:val="0"/>
      <w:marTop w:val="0"/>
      <w:marBottom w:val="0"/>
      <w:divBdr>
        <w:top w:val="none" w:sz="0" w:space="0" w:color="auto"/>
        <w:left w:val="none" w:sz="0" w:space="0" w:color="auto"/>
        <w:bottom w:val="none" w:sz="0" w:space="0" w:color="auto"/>
        <w:right w:val="none" w:sz="0" w:space="0" w:color="auto"/>
      </w:divBdr>
    </w:div>
    <w:div w:id="1385104735">
      <w:bodyDiv w:val="1"/>
      <w:marLeft w:val="0"/>
      <w:marRight w:val="0"/>
      <w:marTop w:val="0"/>
      <w:marBottom w:val="0"/>
      <w:divBdr>
        <w:top w:val="none" w:sz="0" w:space="0" w:color="auto"/>
        <w:left w:val="none" w:sz="0" w:space="0" w:color="auto"/>
        <w:bottom w:val="none" w:sz="0" w:space="0" w:color="auto"/>
        <w:right w:val="none" w:sz="0" w:space="0" w:color="auto"/>
      </w:divBdr>
    </w:div>
    <w:div w:id="1429764607">
      <w:bodyDiv w:val="1"/>
      <w:marLeft w:val="0"/>
      <w:marRight w:val="0"/>
      <w:marTop w:val="0"/>
      <w:marBottom w:val="0"/>
      <w:divBdr>
        <w:top w:val="none" w:sz="0" w:space="0" w:color="auto"/>
        <w:left w:val="none" w:sz="0" w:space="0" w:color="auto"/>
        <w:bottom w:val="none" w:sz="0" w:space="0" w:color="auto"/>
        <w:right w:val="none" w:sz="0" w:space="0" w:color="auto"/>
      </w:divBdr>
    </w:div>
    <w:div w:id="1540897685">
      <w:bodyDiv w:val="1"/>
      <w:marLeft w:val="0"/>
      <w:marRight w:val="0"/>
      <w:marTop w:val="0"/>
      <w:marBottom w:val="0"/>
      <w:divBdr>
        <w:top w:val="none" w:sz="0" w:space="0" w:color="auto"/>
        <w:left w:val="none" w:sz="0" w:space="0" w:color="auto"/>
        <w:bottom w:val="none" w:sz="0" w:space="0" w:color="auto"/>
        <w:right w:val="none" w:sz="0" w:space="0" w:color="auto"/>
      </w:divBdr>
    </w:div>
    <w:div w:id="1685590319">
      <w:bodyDiv w:val="1"/>
      <w:marLeft w:val="0"/>
      <w:marRight w:val="0"/>
      <w:marTop w:val="0"/>
      <w:marBottom w:val="0"/>
      <w:divBdr>
        <w:top w:val="none" w:sz="0" w:space="0" w:color="auto"/>
        <w:left w:val="none" w:sz="0" w:space="0" w:color="auto"/>
        <w:bottom w:val="none" w:sz="0" w:space="0" w:color="auto"/>
        <w:right w:val="none" w:sz="0" w:space="0" w:color="auto"/>
      </w:divBdr>
    </w:div>
    <w:div w:id="1723602036">
      <w:bodyDiv w:val="1"/>
      <w:marLeft w:val="0"/>
      <w:marRight w:val="0"/>
      <w:marTop w:val="0"/>
      <w:marBottom w:val="0"/>
      <w:divBdr>
        <w:top w:val="none" w:sz="0" w:space="0" w:color="auto"/>
        <w:left w:val="none" w:sz="0" w:space="0" w:color="auto"/>
        <w:bottom w:val="none" w:sz="0" w:space="0" w:color="auto"/>
        <w:right w:val="none" w:sz="0" w:space="0" w:color="auto"/>
      </w:divBdr>
    </w:div>
    <w:div w:id="1740591520">
      <w:bodyDiv w:val="1"/>
      <w:marLeft w:val="0"/>
      <w:marRight w:val="0"/>
      <w:marTop w:val="0"/>
      <w:marBottom w:val="0"/>
      <w:divBdr>
        <w:top w:val="none" w:sz="0" w:space="0" w:color="auto"/>
        <w:left w:val="none" w:sz="0" w:space="0" w:color="auto"/>
        <w:bottom w:val="none" w:sz="0" w:space="0" w:color="auto"/>
        <w:right w:val="none" w:sz="0" w:space="0" w:color="auto"/>
      </w:divBdr>
    </w:div>
    <w:div w:id="1780753480">
      <w:bodyDiv w:val="1"/>
      <w:marLeft w:val="0"/>
      <w:marRight w:val="0"/>
      <w:marTop w:val="0"/>
      <w:marBottom w:val="0"/>
      <w:divBdr>
        <w:top w:val="none" w:sz="0" w:space="0" w:color="auto"/>
        <w:left w:val="none" w:sz="0" w:space="0" w:color="auto"/>
        <w:bottom w:val="none" w:sz="0" w:space="0" w:color="auto"/>
        <w:right w:val="none" w:sz="0" w:space="0" w:color="auto"/>
      </w:divBdr>
    </w:div>
    <w:div w:id="1783571511">
      <w:bodyDiv w:val="1"/>
      <w:marLeft w:val="0"/>
      <w:marRight w:val="0"/>
      <w:marTop w:val="0"/>
      <w:marBottom w:val="0"/>
      <w:divBdr>
        <w:top w:val="none" w:sz="0" w:space="0" w:color="auto"/>
        <w:left w:val="none" w:sz="0" w:space="0" w:color="auto"/>
        <w:bottom w:val="none" w:sz="0" w:space="0" w:color="auto"/>
        <w:right w:val="none" w:sz="0" w:space="0" w:color="auto"/>
      </w:divBdr>
      <w:divsChild>
        <w:div w:id="20597947">
          <w:marLeft w:val="0"/>
          <w:marRight w:val="0"/>
          <w:marTop w:val="1050"/>
          <w:marBottom w:val="0"/>
          <w:divBdr>
            <w:top w:val="none" w:sz="0" w:space="0" w:color="auto"/>
            <w:left w:val="none" w:sz="0" w:space="0" w:color="auto"/>
            <w:bottom w:val="none" w:sz="0" w:space="0" w:color="auto"/>
            <w:right w:val="none" w:sz="0" w:space="0" w:color="auto"/>
          </w:divBdr>
          <w:divsChild>
            <w:div w:id="1230313230">
              <w:marLeft w:val="0"/>
              <w:marRight w:val="0"/>
              <w:marTop w:val="0"/>
              <w:marBottom w:val="0"/>
              <w:divBdr>
                <w:top w:val="none" w:sz="0" w:space="0" w:color="auto"/>
                <w:left w:val="none" w:sz="0" w:space="0" w:color="auto"/>
                <w:bottom w:val="none" w:sz="0" w:space="0" w:color="auto"/>
                <w:right w:val="none" w:sz="0" w:space="0" w:color="auto"/>
              </w:divBdr>
              <w:divsChild>
                <w:div w:id="15589322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87575492">
      <w:bodyDiv w:val="1"/>
      <w:marLeft w:val="0"/>
      <w:marRight w:val="0"/>
      <w:marTop w:val="0"/>
      <w:marBottom w:val="0"/>
      <w:divBdr>
        <w:top w:val="none" w:sz="0" w:space="0" w:color="auto"/>
        <w:left w:val="none" w:sz="0" w:space="0" w:color="auto"/>
        <w:bottom w:val="none" w:sz="0" w:space="0" w:color="auto"/>
        <w:right w:val="none" w:sz="0" w:space="0" w:color="auto"/>
      </w:divBdr>
    </w:div>
    <w:div w:id="1822456807">
      <w:bodyDiv w:val="1"/>
      <w:marLeft w:val="0"/>
      <w:marRight w:val="0"/>
      <w:marTop w:val="0"/>
      <w:marBottom w:val="0"/>
      <w:divBdr>
        <w:top w:val="none" w:sz="0" w:space="0" w:color="auto"/>
        <w:left w:val="none" w:sz="0" w:space="0" w:color="auto"/>
        <w:bottom w:val="none" w:sz="0" w:space="0" w:color="auto"/>
        <w:right w:val="none" w:sz="0" w:space="0" w:color="auto"/>
      </w:divBdr>
    </w:div>
    <w:div w:id="1882473960">
      <w:bodyDiv w:val="1"/>
      <w:marLeft w:val="0"/>
      <w:marRight w:val="0"/>
      <w:marTop w:val="0"/>
      <w:marBottom w:val="0"/>
      <w:divBdr>
        <w:top w:val="none" w:sz="0" w:space="0" w:color="auto"/>
        <w:left w:val="none" w:sz="0" w:space="0" w:color="auto"/>
        <w:bottom w:val="none" w:sz="0" w:space="0" w:color="auto"/>
        <w:right w:val="none" w:sz="0" w:space="0" w:color="auto"/>
      </w:divBdr>
    </w:div>
    <w:div w:id="1935042785">
      <w:bodyDiv w:val="1"/>
      <w:marLeft w:val="0"/>
      <w:marRight w:val="0"/>
      <w:marTop w:val="0"/>
      <w:marBottom w:val="0"/>
      <w:divBdr>
        <w:top w:val="none" w:sz="0" w:space="0" w:color="auto"/>
        <w:left w:val="none" w:sz="0" w:space="0" w:color="auto"/>
        <w:bottom w:val="none" w:sz="0" w:space="0" w:color="auto"/>
        <w:right w:val="none" w:sz="0" w:space="0" w:color="auto"/>
      </w:divBdr>
    </w:div>
    <w:div w:id="2041854315">
      <w:bodyDiv w:val="1"/>
      <w:marLeft w:val="0"/>
      <w:marRight w:val="0"/>
      <w:marTop w:val="0"/>
      <w:marBottom w:val="0"/>
      <w:divBdr>
        <w:top w:val="none" w:sz="0" w:space="0" w:color="auto"/>
        <w:left w:val="none" w:sz="0" w:space="0" w:color="auto"/>
        <w:bottom w:val="none" w:sz="0" w:space="0" w:color="auto"/>
        <w:right w:val="none" w:sz="0" w:space="0" w:color="auto"/>
      </w:divBdr>
    </w:div>
    <w:div w:id="2074817190">
      <w:bodyDiv w:val="1"/>
      <w:marLeft w:val="0"/>
      <w:marRight w:val="0"/>
      <w:marTop w:val="0"/>
      <w:marBottom w:val="0"/>
      <w:divBdr>
        <w:top w:val="none" w:sz="0" w:space="0" w:color="auto"/>
        <w:left w:val="none" w:sz="0" w:space="0" w:color="auto"/>
        <w:bottom w:val="none" w:sz="0" w:space="0" w:color="auto"/>
        <w:right w:val="none" w:sz="0" w:space="0" w:color="auto"/>
      </w:divBdr>
    </w:div>
    <w:div w:id="2104060970">
      <w:bodyDiv w:val="1"/>
      <w:marLeft w:val="0"/>
      <w:marRight w:val="0"/>
      <w:marTop w:val="0"/>
      <w:marBottom w:val="0"/>
      <w:divBdr>
        <w:top w:val="none" w:sz="0" w:space="0" w:color="auto"/>
        <w:left w:val="none" w:sz="0" w:space="0" w:color="auto"/>
        <w:bottom w:val="none" w:sz="0" w:space="0" w:color="auto"/>
        <w:right w:val="none" w:sz="0" w:space="0" w:color="auto"/>
      </w:divBdr>
    </w:div>
    <w:div w:id="2111509244">
      <w:bodyDiv w:val="1"/>
      <w:marLeft w:val="0"/>
      <w:marRight w:val="0"/>
      <w:marTop w:val="0"/>
      <w:marBottom w:val="0"/>
      <w:divBdr>
        <w:top w:val="none" w:sz="0" w:space="0" w:color="auto"/>
        <w:left w:val="none" w:sz="0" w:space="0" w:color="auto"/>
        <w:bottom w:val="none" w:sz="0" w:space="0" w:color="auto"/>
        <w:right w:val="none" w:sz="0" w:space="0" w:color="auto"/>
      </w:divBdr>
    </w:div>
    <w:div w:id="21215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hri.ca/newsroom/story/view/1057?l=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ttawahospital.on.ca/en/youre-in-my-care/patients-a-source-of-strength-for-dr-rebecca-auer-the-new-head-of-cancer-research/"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ohri.ca/newsroom/story/view/1061?l=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ohri.ca/newsroom/story/view/1081?l=en"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hri.ca/newsroom/story/view/1090?l=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f1ed3-a8a2-43cf-a210-e8e7d78cfe8f" xsi:nil="true"/>
    <lcf76f155ced4ddcb4097134ff3c332f xmlns="287f78a1-fff5-4a85-b4e6-26643f4690be">
      <Terms xmlns="http://schemas.microsoft.com/office/infopath/2007/PartnerControls"/>
    </lcf76f155ced4ddcb4097134ff3c332f>
    <Pageonthenewsite xmlns="287f78a1-fff5-4a85-b4e6-26643f4690be" xsi:nil="true"/>
    <_Flow_SignoffStatus xmlns="287f78a1-fff5-4a85-b4e6-26643f4690be" xsi:nil="true"/>
    <Thumbnail xmlns="287f78a1-fff5-4a85-b4e6-26643f4690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088873E09644AA6A00B195F2F2225" ma:contentTypeVersion="29" ma:contentTypeDescription="Create a new document." ma:contentTypeScope="" ma:versionID="86f8e399da7b0dfdcfb01752a9f23e0e">
  <xsd:schema xmlns:xsd="http://www.w3.org/2001/XMLSchema" xmlns:xs="http://www.w3.org/2001/XMLSchema" xmlns:p="http://schemas.microsoft.com/office/2006/metadata/properties" xmlns:ns2="287f78a1-fff5-4a85-b4e6-26643f4690be" xmlns:ns3="f8cf1ed3-a8a2-43cf-a210-e8e7d78cfe8f" targetNamespace="http://schemas.microsoft.com/office/2006/metadata/properties" ma:root="true" ma:fieldsID="2554fb723e795297f57f8b0b51769cbd" ns2:_="" ns3:_="">
    <xsd:import namespace="287f78a1-fff5-4a85-b4e6-26643f4690be"/>
    <xsd:import namespace="f8cf1ed3-a8a2-43cf-a210-e8e7d78cf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_Flow_SignoffStatus" minOccurs="0"/>
                <xsd:element ref="ns2:Thumbnail" minOccurs="0"/>
                <xsd:element ref="ns2:MediaServiceBillingMetadata" minOccurs="0"/>
                <xsd:element ref="ns2:Pageonthenew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f78a1-fff5-4a85-b4e6-26643f46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ageonthenewsite" ma:index="29" nillable="true" ma:displayName="Page on the new site" ma:format="Dropdown" ma:internalName="Pageonthenew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f1ed3-a8a2-43cf-a210-e8e7d78cfe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555b6-75ad-4ede-bd08-bab940b72aac}" ma:internalName="TaxCatchAll" ma:showField="CatchAllData" ma:web="f8cf1ed3-a8a2-43cf-a210-e8e7d78c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193A6-7E00-41EC-AFDA-A8CDC289F458}">
  <ds:schemaRefs>
    <ds:schemaRef ds:uri="http://schemas.microsoft.com/office/2006/metadata/properties"/>
    <ds:schemaRef ds:uri="http://schemas.microsoft.com/office/infopath/2007/PartnerControls"/>
    <ds:schemaRef ds:uri="f8cf1ed3-a8a2-43cf-a210-e8e7d78cfe8f"/>
    <ds:schemaRef ds:uri="287f78a1-fff5-4a85-b4e6-26643f4690be"/>
  </ds:schemaRefs>
</ds:datastoreItem>
</file>

<file path=customXml/itemProps2.xml><?xml version="1.0" encoding="utf-8"?>
<ds:datastoreItem xmlns:ds="http://schemas.openxmlformats.org/officeDocument/2006/customXml" ds:itemID="{69CDC5BC-CFF6-4552-8186-B41D65C3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f78a1-fff5-4a85-b4e6-26643f4690be"/>
    <ds:schemaRef ds:uri="f8cf1ed3-a8a2-43cf-a210-e8e7d78c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AFCC9-6591-4215-9A3C-C8A51EA54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Vanaja Sivasubramanian</dc:creator>
  <cp:keywords/>
  <dc:description/>
  <cp:lastModifiedBy>Taline (Tah-leen) Jirian</cp:lastModifiedBy>
  <cp:revision>59</cp:revision>
  <dcterms:created xsi:type="dcterms:W3CDTF">2025-07-16T21:04:00Z</dcterms:created>
  <dcterms:modified xsi:type="dcterms:W3CDTF">2025-07-21T19:44:00Z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17e413f7-e341-4d04-a3cd-d0da7407f7e8</vt:lpwstr>
  </property>
  <property fmtid="{D5CDD505-2E9C-101B-9397-08002B2CF9AE}" pid="3" name="ContentTypeId">
    <vt:lpwstr>0x0101004C1088873E09644AA6A00B195F2F2225</vt:lpwstr>
  </property>
  <property fmtid="{D5CDD505-2E9C-101B-9397-08002B2CF9AE}" pid="4" name="MediaServiceImageTags">
    <vt:lpwstr/>
  </property>
</Properties>
</file>